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98B"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presente Contratación Directa - </w:t>
      </w:r>
      <w:r w:rsidRPr="00AB1798">
        <w:rPr>
          <w:rFonts w:cs="Arial"/>
          <w:bCs/>
          <w:sz w:val="20"/>
          <w:u w:val="single"/>
        </w:rPr>
        <w:t>Trámite simplificado</w:t>
      </w:r>
      <w:r w:rsidRPr="00AB1798">
        <w:rPr>
          <w:rFonts w:cs="Arial"/>
          <w:bCs/>
          <w:sz w:val="20"/>
        </w:rPr>
        <w:t xml:space="preserve"> - tiene por objeto la adquisición de los bienes y/o servicios descriptos en el ANEXO I, y se llevará adelante según los plazos de entrega y en las condiciones allí dispuestas.</w:t>
      </w:r>
    </w:p>
    <w:p w14:paraId="5EBB9C8E"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Deberá cotizarse utilizando el ANEXO II, planilla de cotización </w:t>
      </w:r>
      <w:r w:rsidRPr="00AB1798">
        <w:rPr>
          <w:rFonts w:cs="Arial"/>
          <w:bCs/>
          <w:sz w:val="20"/>
          <w:u w:val="single"/>
        </w:rPr>
        <w:t>sin excepción</w:t>
      </w:r>
      <w:r w:rsidRPr="00AB1798">
        <w:rPr>
          <w:rFonts w:cs="Arial"/>
          <w:bCs/>
          <w:sz w:val="20"/>
        </w:rPr>
        <w:t>. Todos los precios cotizados se consignarán en la moneda indicada en el mencionado anexo, incluyendo el Impuesto al Valor Agregado (IVA), y completando la información solicitada.</w:t>
      </w:r>
    </w:p>
    <w:p w14:paraId="5E71E33A" w14:textId="77777777" w:rsidR="00310034" w:rsidRPr="00AE0215" w:rsidRDefault="00310034" w:rsidP="00310034">
      <w:pPr>
        <w:numPr>
          <w:ilvl w:val="0"/>
          <w:numId w:val="1"/>
        </w:numPr>
        <w:spacing w:before="120" w:after="120" w:line="276" w:lineRule="auto"/>
        <w:ind w:left="284" w:hanging="284"/>
        <w:jc w:val="both"/>
        <w:rPr>
          <w:rFonts w:cs="Arial"/>
          <w:sz w:val="20"/>
        </w:rPr>
      </w:pPr>
      <w:r w:rsidRPr="00AE0215">
        <w:rPr>
          <w:rFonts w:cs="Arial"/>
          <w:sz w:val="20"/>
        </w:rPr>
        <w:t xml:space="preserve">“Deberá enviar el </w:t>
      </w:r>
      <w:proofErr w:type="spellStart"/>
      <w:r w:rsidRPr="00AE0215">
        <w:rPr>
          <w:rFonts w:cs="Arial"/>
          <w:sz w:val="20"/>
        </w:rPr>
        <w:t>print</w:t>
      </w:r>
      <w:proofErr w:type="spellEnd"/>
      <w:r w:rsidRPr="00AE0215">
        <w:rPr>
          <w:rFonts w:cs="Arial"/>
          <w:sz w:val="20"/>
        </w:rPr>
        <w:t xml:space="preserve"> de pantalla del Estado de Cumplimiento del Contribuyente - Detalle de deuda</w:t>
      </w:r>
      <w:r w:rsidRPr="00AE0215">
        <w:rPr>
          <w:rFonts w:cs="Arial"/>
          <w:sz w:val="20"/>
        </w:rPr>
        <w:br/>
        <w:t>consolidada. El contribuyente podrá verificar su estado y obtener mayor información, ingresando al sitio web</w:t>
      </w:r>
      <w:r w:rsidRPr="00AE0215">
        <w:rPr>
          <w:rFonts w:cs="Arial"/>
          <w:sz w:val="20"/>
        </w:rPr>
        <w:br/>
        <w:t>de AFIP con su clave fiscal, en Sistema de Cuentas Tributarias, en la opción “Detalle de Deuda Consolidada” y</w:t>
      </w:r>
      <w:r w:rsidRPr="00AE0215">
        <w:rPr>
          <w:rFonts w:cs="Arial"/>
          <w:sz w:val="20"/>
        </w:rPr>
        <w:br/>
        <w:t>dentro de esta opción, el trámite “Consulta de deuda de proveedores del Estado” o podrá enviar el Certificado</w:t>
      </w:r>
      <w:r w:rsidRPr="00AE0215">
        <w:rPr>
          <w:rFonts w:cs="Arial"/>
          <w:sz w:val="20"/>
        </w:rPr>
        <w:br/>
        <w:t>SIPER (AFIP) con la categoría que le fue asignada, ingresando a http://www.afip.gob.ar a través del servicio</w:t>
      </w:r>
      <w:r w:rsidRPr="00AE0215">
        <w:rPr>
          <w:rFonts w:cs="Arial"/>
          <w:sz w:val="20"/>
        </w:rPr>
        <w:br/>
        <w:t>“Sistema Registral” opción “Trámites/SIPER”, utilizando su Clave Fiscal cuando el monto total de la oferta no</w:t>
      </w:r>
      <w:r w:rsidRPr="00AE0215">
        <w:rPr>
          <w:rFonts w:cs="Arial"/>
          <w:sz w:val="20"/>
        </w:rPr>
        <w:br/>
        <w:t xml:space="preserve">supere la suma equivalente a 167 Módulos (actualmente $ </w:t>
      </w:r>
      <w:r>
        <w:rPr>
          <w:rFonts w:cs="Arial"/>
          <w:sz w:val="20"/>
        </w:rPr>
        <w:t>668</w:t>
      </w:r>
      <w:r w:rsidRPr="00AE0215">
        <w:rPr>
          <w:rFonts w:cs="Arial"/>
          <w:sz w:val="20"/>
        </w:rPr>
        <w:t>.000.-) según lo previsto en el Reglamento de</w:t>
      </w:r>
      <w:r w:rsidRPr="00AE0215">
        <w:rPr>
          <w:rFonts w:cs="Arial"/>
          <w:sz w:val="20"/>
        </w:rPr>
        <w:br/>
        <w:t>Compras y Contrataciones de Bienes y Servicios de Educar S.E. vigente.”</w:t>
      </w:r>
    </w:p>
    <w:p w14:paraId="52271AA3"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Constancia de Inscripción en AFIP vigente.</w:t>
      </w:r>
    </w:p>
    <w:p w14:paraId="4135AEA4"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copia de la Documentación general Persona Jurídica: Estatuto social y modificaciones. Sociedad Anónima: Acta de Asamblea de designación de Directorio, Acta de Directorio con distribución de cargos, Sociedad de Responsabilidad Limitada: Designación de autoridades vigentes. Otras sociedades: presentar información equivalente para la Sociedad Anónima. Copia del DNI del firmante. Poder especial para presentar ofertas en licitaciones (si actúa por apoderado) y en su caso el Poder general amplio de administración y disposición.</w:t>
      </w:r>
    </w:p>
    <w:p w14:paraId="437991BC"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Documentación general Persona Humana (física): Copia del DNI del Oferente.</w:t>
      </w:r>
    </w:p>
    <w:p w14:paraId="29D8B011"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
          <w:bCs/>
          <w:sz w:val="20"/>
        </w:rPr>
        <w:t>La presentación de la oferta significará por parte del Oferente la conformidad y aceptación de las cláusulas que rigen la presente contratación y el Reglamento de Compras y Contrataciones de Educ.ar S.E. vigente.</w:t>
      </w:r>
    </w:p>
    <w:p w14:paraId="78E73CB0"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oferta se mantendrá por siete (7) días hábiles, renovables automáticamente por períodos de siete (7) días hábiles, salvo retracción de la oferta presentada con </w:t>
      </w:r>
      <w:r w:rsidRPr="00AC4BFE">
        <w:rPr>
          <w:rFonts w:cs="Arial"/>
          <w:bCs/>
          <w:sz w:val="20"/>
        </w:rPr>
        <w:t>cuarenta y ocho (48) horas de antelación </w:t>
      </w:r>
      <w:r w:rsidRPr="00AC4BFE">
        <w:rPr>
          <w:rFonts w:cs="Arial"/>
          <w:b/>
          <w:sz w:val="20"/>
        </w:rPr>
        <w:t>al vencimiento de cada período</w:t>
      </w:r>
      <w:r>
        <w:rPr>
          <w:rFonts w:cs="Arial"/>
          <w:b/>
          <w:sz w:val="20"/>
        </w:rPr>
        <w:t>.</w:t>
      </w:r>
    </w:p>
    <w:p w14:paraId="5A1014D6" w14:textId="5BBAA549" w:rsidR="00310034"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El Adjudicatario tomará por su cuenta y a su costo todos los seguros que correspondan de acuerdo con la legislación nacional y de la Ciudad Autónoma de Buenos Aires y los mantendrá vigentes hasta la terminación de la prestación del servicio o entrega de los bienes. Especialmente el Adjudicatario deberá contar con cobertura de los riesgos de trabajos dentro de los términos y alcances de la Ley Nº 24.557 (Ley de Riesgos de Trabajo) y con seguro de vida obligatorio en los términos del decreto Nº 1567. </w:t>
      </w:r>
    </w:p>
    <w:p w14:paraId="471A28D4" w14:textId="7DEDE41B" w:rsidR="00B3423A" w:rsidRDefault="00B3423A" w:rsidP="00B3423A">
      <w:pPr>
        <w:numPr>
          <w:ilvl w:val="0"/>
          <w:numId w:val="1"/>
        </w:numPr>
        <w:spacing w:before="120" w:after="120" w:line="276" w:lineRule="auto"/>
        <w:ind w:left="284" w:hanging="284"/>
        <w:jc w:val="both"/>
        <w:rPr>
          <w:rFonts w:cs="Arial"/>
          <w:bCs/>
          <w:sz w:val="20"/>
        </w:rPr>
      </w:pPr>
      <w:r>
        <w:rPr>
          <w:rStyle w:val="fontstyle01"/>
        </w:rPr>
        <w:t xml:space="preserve"> </w:t>
      </w:r>
      <w:r w:rsidRPr="00F3091E">
        <w:rPr>
          <w:rFonts w:cs="Arial"/>
          <w:b/>
          <w:bCs/>
          <w:sz w:val="20"/>
        </w:rPr>
        <w:t>Garantía de Cumplimiento:</w:t>
      </w:r>
      <w:r>
        <w:rPr>
          <w:rStyle w:val="fontstyle21"/>
        </w:rPr>
        <w:t xml:space="preserve"> </w:t>
      </w:r>
      <w:r w:rsidRPr="00B3423A">
        <w:rPr>
          <w:rFonts w:cs="Arial"/>
          <w:bCs/>
          <w:sz w:val="20"/>
        </w:rPr>
        <w:t>El adjudicatario deberá integrar la garantía de cumplimiento del diez por ciento (10%), dentro de los 8 días siguientes del envío de la notificación de la Orden de Compra. La no constitución por parte del</w:t>
      </w:r>
      <w:r>
        <w:t xml:space="preserve"> </w:t>
      </w:r>
      <w:r w:rsidRPr="00B3423A">
        <w:rPr>
          <w:rFonts w:cs="Arial"/>
          <w:bCs/>
          <w:sz w:val="20"/>
        </w:rPr>
        <w:t>Adjudicatario de la Garantía de Cumplimiento, faculta a Educ.ar S.E. a rescindir dicha adjudicación, sin lugar</w:t>
      </w:r>
      <w:r w:rsidRPr="00B3423A">
        <w:rPr>
          <w:rFonts w:cs="Arial"/>
        </w:rPr>
        <w:t xml:space="preserve"> a</w:t>
      </w:r>
      <w:r w:rsidRPr="00B3423A">
        <w:rPr>
          <w:rFonts w:cs="Arial"/>
          <w:sz w:val="20"/>
        </w:rPr>
        <w:t xml:space="preserve"> </w:t>
      </w:r>
      <w:r w:rsidRPr="00B3423A">
        <w:rPr>
          <w:rFonts w:cs="Arial"/>
          <w:bCs/>
          <w:sz w:val="20"/>
        </w:rPr>
        <w:t>indemnización o reclamo alguno a favor de los interesados, oferentes o Adjudicatarios.</w:t>
      </w:r>
    </w:p>
    <w:p w14:paraId="2A54E3E9" w14:textId="77777777" w:rsidR="00B3423A" w:rsidRDefault="00B3423A" w:rsidP="00B3423A">
      <w:pPr>
        <w:spacing w:before="120" w:after="120" w:line="276" w:lineRule="auto"/>
        <w:ind w:left="284"/>
        <w:jc w:val="both"/>
        <w:rPr>
          <w:rFonts w:cs="Arial"/>
          <w:bCs/>
          <w:sz w:val="20"/>
        </w:rPr>
      </w:pPr>
    </w:p>
    <w:p w14:paraId="2A4DD514" w14:textId="5FAF3EEE" w:rsidR="00B3423A" w:rsidRPr="005A7CE8" w:rsidRDefault="00B3423A" w:rsidP="005A7CE8">
      <w:pPr>
        <w:pStyle w:val="Prrafodelista"/>
        <w:numPr>
          <w:ilvl w:val="0"/>
          <w:numId w:val="7"/>
        </w:numPr>
        <w:spacing w:before="120" w:after="120" w:line="276" w:lineRule="auto"/>
        <w:jc w:val="both"/>
        <w:rPr>
          <w:rFonts w:cs="Arial"/>
          <w:bCs/>
          <w:sz w:val="20"/>
        </w:rPr>
      </w:pPr>
      <w:r w:rsidRPr="005A7CE8">
        <w:rPr>
          <w:rFonts w:cs="Arial"/>
          <w:bCs/>
          <w:sz w:val="20"/>
        </w:rPr>
        <w:lastRenderedPageBreak/>
        <w:t>Formas de constitución de garantías</w:t>
      </w:r>
    </w:p>
    <w:p w14:paraId="4845B6F1" w14:textId="15CE66E3" w:rsidR="00B3423A" w:rsidRPr="009D28CF" w:rsidRDefault="00B3423A" w:rsidP="00B3423A">
      <w:pPr>
        <w:pStyle w:val="Prrafodelista"/>
        <w:spacing w:before="120" w:after="120" w:line="276" w:lineRule="auto"/>
        <w:ind w:left="644"/>
        <w:jc w:val="both"/>
        <w:rPr>
          <w:rFonts w:asciiTheme="minorHAnsi" w:hAnsiTheme="minorHAnsi" w:cs="Arial"/>
          <w:bCs/>
          <w:sz w:val="20"/>
        </w:rPr>
      </w:pPr>
      <w:r w:rsidRPr="009D28CF">
        <w:rPr>
          <w:rFonts w:asciiTheme="minorHAnsi" w:hAnsiTheme="minorHAnsi" w:cs="Arial"/>
          <w:bCs/>
          <w:sz w:val="20"/>
        </w:rPr>
        <w:br/>
        <w:t>a) Mediante depósito bancario en la cuenta de Educ.ar S.E. o transferencia electrónica bancaria. La garantía</w:t>
      </w:r>
      <w:r w:rsidRPr="009D28CF">
        <w:rPr>
          <w:rFonts w:asciiTheme="minorHAnsi" w:hAnsiTheme="minorHAnsi" w:cs="Arial"/>
          <w:bCs/>
          <w:sz w:val="20"/>
        </w:rPr>
        <w:br/>
        <w:t>producirá efectos en el momento que el importe quede acreditado en la cuenta de Educ.ar S.E.</w:t>
      </w:r>
    </w:p>
    <w:p w14:paraId="1ECAB866" w14:textId="76427DFA" w:rsidR="00B3423A" w:rsidRPr="009D28CF" w:rsidRDefault="00B3423A" w:rsidP="00B3423A">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t>b) Con cheque certificado contra entidad bancaria con domicilio en la Ciudad de Buenos Aires. El cheque deberá</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ser depositado dentro del plazo que rija para estas operaciones. En este caso quien preste la garantía se hará cargo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 xml:space="preserve">del impuesto establecido por la Ley </w:t>
      </w:r>
      <w:proofErr w:type="spellStart"/>
      <w:r w:rsidRPr="009D28CF">
        <w:rPr>
          <w:rFonts w:eastAsia="Times New Roman" w:cs="Arial"/>
          <w:bCs/>
          <w:sz w:val="20"/>
          <w:szCs w:val="20"/>
          <w:lang w:val="es-ES" w:eastAsia="es-ES"/>
        </w:rPr>
        <w:t>N°</w:t>
      </w:r>
      <w:proofErr w:type="spellEnd"/>
      <w:r w:rsidRPr="009D28CF">
        <w:rPr>
          <w:rFonts w:eastAsia="Times New Roman" w:cs="Arial"/>
          <w:bCs/>
          <w:sz w:val="20"/>
          <w:szCs w:val="20"/>
          <w:lang w:val="es-ES" w:eastAsia="es-ES"/>
        </w:rPr>
        <w:t xml:space="preserve"> 25.413, que será deducido al momento de su devolución.</w:t>
      </w:r>
      <w:r w:rsidRPr="009D28CF">
        <w:rPr>
          <w:rFonts w:eastAsia="Times New Roman" w:cs="Arial"/>
          <w:bCs/>
          <w:sz w:val="20"/>
          <w:szCs w:val="20"/>
          <w:lang w:val="es-ES" w:eastAsia="es-ES"/>
        </w:rPr>
        <w:br/>
      </w:r>
      <w:r w:rsidRPr="009D28CF">
        <w:rPr>
          <w:rFonts w:eastAsia="Times New Roman" w:cs="Arial"/>
          <w:bCs/>
          <w:sz w:val="20"/>
          <w:szCs w:val="20"/>
          <w:lang w:val="es-ES" w:eastAsia="es-ES"/>
        </w:rPr>
        <w:br/>
        <w:t>c) Con aval bancario, a satisfacción de Educ.ar S.E., constituyéndose el fiador en deudor solidario, liso y llano y</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principal pagador con renuncia a los beneficios de división y excusión en los términos del Código Civil y Comercial</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de la Nación, así como el beneficio de interpelación judicial previa.</w:t>
      </w:r>
    </w:p>
    <w:p w14:paraId="3138A10A" w14:textId="2CF44BC8" w:rsidR="00B3423A" w:rsidRPr="009D28CF" w:rsidRDefault="00B3423A" w:rsidP="005A7CE8">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d) Con seguro de caución mediante póliza aprobada por la Superintendencia de Seguros de la Nación, extendida a favor de Educ.ar S.E (CUIT 30-70721953-6) y a satisfacción de Educ.ar S.E., domiciliado en Av. Comodoro M. Rivadavia 1151, CABA., cuyas cláusulas se conformen con el modelo y reglamentación que a tal efecto dicte la Autoridad de Aplicación. Se podrán establecer los requisitos de solvencia que deberán reunir las compañías</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aseguradoras a fin de preservar el cobro del seguro de caución. Educ.ar S.E. podrá solicitar al oferente 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adjudicatario la sustitución de la compañía de seguros, cuando durante el transcurso del procedimiento o la</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ejecución del contrato la aseguradora originaria deje de reunir los requisitos que se</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hubiesen solicitado.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Educ.ar</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 xml:space="preserve">S.E. aceptará seguros de caución en formato físico o digital, independientemente del formato que la </w:t>
      </w:r>
      <w:proofErr w:type="spellStart"/>
      <w:r w:rsidRPr="009D28CF">
        <w:rPr>
          <w:rFonts w:eastAsia="Times New Roman" w:cs="Arial"/>
          <w:bCs/>
          <w:sz w:val="20"/>
          <w:szCs w:val="20"/>
          <w:lang w:val="es-ES" w:eastAsia="es-ES"/>
        </w:rPr>
        <w:t>Cia</w:t>
      </w:r>
      <w:proofErr w:type="spellEnd"/>
      <w:r w:rsidRPr="009D28CF">
        <w:rPr>
          <w:rFonts w:eastAsia="Times New Roman" w:cs="Arial"/>
          <w:bCs/>
          <w:sz w:val="20"/>
          <w:szCs w:val="20"/>
          <w:lang w:val="es-ES" w:eastAsia="es-ES"/>
        </w:rPr>
        <w:t>.</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 xml:space="preserve">Aseguradora utilice. Sin embargo, la integración a la oferta deberá ser la ORIGINAL emitida por la </w:t>
      </w:r>
      <w:proofErr w:type="spellStart"/>
      <w:r w:rsidRPr="009D28CF">
        <w:rPr>
          <w:rFonts w:eastAsia="Times New Roman" w:cs="Arial"/>
          <w:bCs/>
          <w:sz w:val="20"/>
          <w:szCs w:val="20"/>
          <w:lang w:val="es-ES" w:eastAsia="es-ES"/>
        </w:rPr>
        <w:t>Cia</w:t>
      </w:r>
      <w:proofErr w:type="spellEnd"/>
      <w:r w:rsidRPr="009D28CF">
        <w:rPr>
          <w:rFonts w:eastAsia="Times New Roman" w:cs="Arial"/>
          <w:bCs/>
          <w:sz w:val="20"/>
          <w:szCs w:val="20"/>
          <w:lang w:val="es-ES" w:eastAsia="es-ES"/>
        </w:rPr>
        <w:t>. Aseguradora. En el caso de ser escaneada por el oferente, el documento deberá estar firmado electrónicamente por la persona que suscribe la totalidad de la oferta.</w:t>
      </w:r>
    </w:p>
    <w:p w14:paraId="5AB316BD" w14:textId="2B621129" w:rsidR="00B3423A" w:rsidRPr="009D28CF" w:rsidRDefault="00B3423A" w:rsidP="00B3423A">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e) Con pagarés a la vista, suscriptos por quienes tengan el uso de la firma social o actuaren con poderes suficientes,</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 xml:space="preserve">cuando el monto de la garantía no supere los CIEN MÓDULOS (M 100). </w:t>
      </w:r>
    </w:p>
    <w:p w14:paraId="53C82528" w14:textId="77777777" w:rsidR="005A7CE8" w:rsidRDefault="00B3423A" w:rsidP="005A7CE8">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t>El valor del módulo será el establecido por el artículo 28 del Reglamento del Régimen de Contrataciones de la Administración Nacional aprobado por el Decreto Nº 1030 del 15 de septiembre de 2016 y sus modificatorias.</w:t>
      </w:r>
      <w:r w:rsidR="009D28CF" w:rsidRPr="009D28CF">
        <w:rPr>
          <w:rFonts w:eastAsia="Times New Roman" w:cs="Arial"/>
          <w:bCs/>
          <w:sz w:val="20"/>
          <w:szCs w:val="20"/>
          <w:lang w:val="es-ES" w:eastAsia="es-ES"/>
        </w:rPr>
        <w:t xml:space="preserve"> </w:t>
      </w:r>
      <w:r w:rsidRPr="009D28CF">
        <w:rPr>
          <w:rFonts w:eastAsia="Times New Roman" w:cs="Arial"/>
          <w:bCs/>
          <w:sz w:val="20"/>
          <w:szCs w:val="20"/>
          <w:lang w:val="es-ES" w:eastAsia="es-ES"/>
        </w:rPr>
        <w:t>El valor del módulo será de pesos cuatro mil ($ 4.000,00) de acuerdo con la decisión administrativa 1191/2021.</w:t>
      </w:r>
    </w:p>
    <w:p w14:paraId="2163A7A6" w14:textId="6510E258" w:rsidR="009D28CF" w:rsidRPr="009D28CF" w:rsidRDefault="00B3423A" w:rsidP="005A7CE8">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En el caso de póliza de seguro de caución las relaciones entre el Tomador y el Asegurador se rigen por lo</w:t>
      </w:r>
      <w:r w:rsidRPr="009D28CF">
        <w:rPr>
          <w:rFonts w:cs="Arial"/>
          <w:bCs/>
          <w:sz w:val="20"/>
        </w:rPr>
        <w:t xml:space="preserve"> </w:t>
      </w:r>
      <w:r w:rsidRPr="009D28CF">
        <w:rPr>
          <w:rFonts w:eastAsia="Times New Roman" w:cs="Arial"/>
          <w:bCs/>
          <w:sz w:val="20"/>
          <w:szCs w:val="20"/>
          <w:lang w:val="es-ES" w:eastAsia="es-ES"/>
        </w:rPr>
        <w:t>establecido</w:t>
      </w:r>
      <w:r w:rsidR="009D28CF" w:rsidRPr="009D28CF">
        <w:rPr>
          <w:rFonts w:eastAsia="Times New Roman" w:cs="Arial"/>
          <w:bCs/>
          <w:sz w:val="20"/>
          <w:szCs w:val="20"/>
          <w:lang w:val="es-ES" w:eastAsia="es-ES"/>
        </w:rPr>
        <w:t xml:space="preserve"> </w:t>
      </w:r>
      <w:r w:rsidRPr="009D28CF">
        <w:rPr>
          <w:rFonts w:eastAsia="Times New Roman" w:cs="Arial"/>
          <w:bCs/>
          <w:sz w:val="20"/>
          <w:szCs w:val="20"/>
          <w:lang w:val="es-ES" w:eastAsia="es-ES"/>
        </w:rPr>
        <w:t>en la solicitud accesoria a esta póliza, cuyas disposiciones no podrán ser opuestas al Asegurado. Los actos,</w:t>
      </w:r>
      <w:r w:rsidR="009D28CF" w:rsidRPr="009D28CF">
        <w:rPr>
          <w:rFonts w:eastAsia="Times New Roman" w:cs="Arial"/>
          <w:bCs/>
          <w:sz w:val="20"/>
          <w:szCs w:val="20"/>
          <w:lang w:val="es-ES" w:eastAsia="es-ES"/>
        </w:rPr>
        <w:t xml:space="preserve"> </w:t>
      </w:r>
      <w:r w:rsidRPr="009D28CF">
        <w:rPr>
          <w:rFonts w:eastAsia="Times New Roman" w:cs="Arial"/>
          <w:bCs/>
          <w:sz w:val="20"/>
          <w:szCs w:val="20"/>
          <w:lang w:val="es-ES" w:eastAsia="es-ES"/>
        </w:rPr>
        <w:t>declaraciones, acciones u omisiones del Tomador de la póliza, incluida la falta de pago del premio en las fechas</w:t>
      </w:r>
      <w:r w:rsidR="009D28CF" w:rsidRPr="009D28CF">
        <w:rPr>
          <w:rFonts w:eastAsia="Times New Roman" w:cs="Arial"/>
          <w:bCs/>
          <w:sz w:val="20"/>
          <w:szCs w:val="20"/>
          <w:lang w:val="es-ES" w:eastAsia="es-ES"/>
        </w:rPr>
        <w:t xml:space="preserve"> </w:t>
      </w:r>
      <w:r w:rsidRPr="009D28CF">
        <w:rPr>
          <w:rFonts w:eastAsia="Times New Roman" w:cs="Arial"/>
          <w:bCs/>
          <w:sz w:val="20"/>
          <w:szCs w:val="20"/>
          <w:lang w:val="es-ES" w:eastAsia="es-ES"/>
        </w:rPr>
        <w:t>convenidas, no afectarán en modo alguno los derechos del Asegurado frente al Asegurador. La utilización de esta</w:t>
      </w:r>
      <w:r w:rsidR="009D28CF" w:rsidRPr="009D28CF">
        <w:rPr>
          <w:rFonts w:eastAsia="Times New Roman" w:cs="Arial"/>
          <w:bCs/>
          <w:sz w:val="20"/>
          <w:szCs w:val="20"/>
          <w:lang w:val="es-ES" w:eastAsia="es-ES"/>
        </w:rPr>
        <w:t xml:space="preserve"> </w:t>
      </w:r>
      <w:r w:rsidRPr="009D28CF">
        <w:rPr>
          <w:rFonts w:eastAsia="Times New Roman" w:cs="Arial"/>
          <w:bCs/>
          <w:sz w:val="20"/>
          <w:szCs w:val="20"/>
          <w:lang w:val="es-ES" w:eastAsia="es-ES"/>
        </w:rPr>
        <w:t>póliza implica ratificación de los términos de la solicitud.</w:t>
      </w:r>
    </w:p>
    <w:p w14:paraId="72651FB3"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Todas las garantías deberán cubrir el total cumplimiento de las obligaciones contraídas.</w:t>
      </w:r>
    </w:p>
    <w:p w14:paraId="79D781D1"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lastRenderedPageBreak/>
        <w:br/>
        <w:t>Las garantías deberán constituirse en la misma moneda en que se hubiere hecho la oferta.</w:t>
      </w:r>
    </w:p>
    <w:p w14:paraId="1380A2E0" w14:textId="63CCEF6E"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En todos los casos los impuestos correspondientes a la integración de las garantías estarán a cargo del oferente 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adjudicatario.</w:t>
      </w:r>
    </w:p>
    <w:p w14:paraId="35250D35" w14:textId="379F19F8"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Educ.ar S.E. sólo aceptará pólizas de caución emitidas por Compañías de Seguros aprobadas por la</w:t>
      </w:r>
      <w:r w:rsidRPr="009D28CF">
        <w:rPr>
          <w:rFonts w:eastAsia="Times New Roman" w:cs="Arial"/>
          <w:bCs/>
          <w:sz w:val="20"/>
          <w:szCs w:val="20"/>
          <w:lang w:val="es-ES" w:eastAsia="es-ES"/>
        </w:rPr>
        <w:br/>
        <w:t>Superintendencia de Seguros de la Nación, de primer nivel que no se encuentren en proceso de concurso / quiebra</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y que garanticen el cumplimiento de la obligación, reservándose el derecho de solicitar al oferente o adjudicatario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la sustitución de la compañía de seguros, cuando durante el transcurso del procedimiento o la ejecución del</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contrato la considere insuficiente.</w:t>
      </w:r>
    </w:p>
    <w:p w14:paraId="0479F6CA" w14:textId="7FA9E126" w:rsidR="00B3423A"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Cuando el tipo de garantía seleccionada permita ser constituida en forma electrónica. Educ.ar S.E. realizará los</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controles necesarios para verificar la validez de esta, quedando a su sólo arbitrio la decisión de aceptarla o solicitar que sea presentada en forma física. Ello será debidamente comunicado al oferente/adjudicatario al correo</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electrónico oportunamente constituido en la oferta.</w:t>
      </w:r>
    </w:p>
    <w:p w14:paraId="155F2341" w14:textId="77777777" w:rsidR="009D28CF" w:rsidRPr="009D28CF" w:rsidRDefault="009D28CF" w:rsidP="009D28CF">
      <w:pPr>
        <w:spacing w:before="120" w:after="120" w:line="276" w:lineRule="auto"/>
        <w:ind w:left="644"/>
        <w:jc w:val="both"/>
        <w:rPr>
          <w:rFonts w:eastAsia="Times New Roman" w:cs="Arial"/>
          <w:bCs/>
          <w:sz w:val="20"/>
          <w:szCs w:val="20"/>
          <w:lang w:val="es-ES" w:eastAsia="es-ES"/>
        </w:rPr>
      </w:pPr>
    </w:p>
    <w:p w14:paraId="5C44DC67" w14:textId="5DB44809" w:rsidR="009D28CF" w:rsidRPr="009D28CF" w:rsidRDefault="00B3423A" w:rsidP="009D28CF">
      <w:pPr>
        <w:spacing w:before="120" w:after="120" w:line="276" w:lineRule="auto"/>
        <w:ind w:left="644" w:hanging="360"/>
        <w:rPr>
          <w:rFonts w:eastAsia="Times New Roman" w:cs="Arial"/>
          <w:bCs/>
          <w:sz w:val="20"/>
          <w:szCs w:val="20"/>
          <w:lang w:val="es-ES" w:eastAsia="es-ES"/>
        </w:rPr>
      </w:pPr>
      <w:r w:rsidRPr="009D28CF">
        <w:rPr>
          <w:rFonts w:eastAsia="Times New Roman" w:cs="Arial"/>
          <w:bCs/>
          <w:sz w:val="20"/>
          <w:szCs w:val="20"/>
          <w:lang w:val="es-ES" w:eastAsia="es-ES"/>
        </w:rPr>
        <w:t>2.</w:t>
      </w:r>
      <w:r w:rsidR="005A7CE8">
        <w:rPr>
          <w:rFonts w:eastAsia="Times New Roman" w:cs="Arial"/>
          <w:bCs/>
          <w:sz w:val="20"/>
          <w:szCs w:val="20"/>
          <w:lang w:val="es-ES" w:eastAsia="es-ES"/>
        </w:rPr>
        <w:t xml:space="preserve"> </w:t>
      </w:r>
      <w:r w:rsidRPr="009D28CF">
        <w:rPr>
          <w:rFonts w:eastAsia="Times New Roman" w:cs="Arial"/>
          <w:bCs/>
          <w:sz w:val="20"/>
          <w:szCs w:val="20"/>
          <w:lang w:val="es-ES" w:eastAsia="es-ES"/>
        </w:rPr>
        <w:t xml:space="preserve"> Devolución de garantías</w:t>
      </w:r>
    </w:p>
    <w:p w14:paraId="4DD89C37" w14:textId="48CF859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a. Las garantías de cumplimiento de contrato o las contragarantías, dentro de los diez (10) días de</w:t>
      </w:r>
      <w:r w:rsidRPr="009D28CF">
        <w:rPr>
          <w:rFonts w:eastAsia="Times New Roman" w:cs="Arial"/>
          <w:bCs/>
          <w:sz w:val="20"/>
          <w:szCs w:val="20"/>
          <w:lang w:val="es-ES" w:eastAsia="es-ES"/>
        </w:rPr>
        <w:br/>
        <w:t>cumplido el contrato cuando no quede pendiente penalidad alguna.</w:t>
      </w:r>
    </w:p>
    <w:p w14:paraId="45966F67"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b. Las garantías de impugnación al dictamen de evaluación de las ofertas o de precalificación, dentro de</w:t>
      </w:r>
      <w:r w:rsidRPr="009D28CF">
        <w:rPr>
          <w:rFonts w:eastAsia="Times New Roman" w:cs="Arial"/>
          <w:bCs/>
          <w:sz w:val="20"/>
          <w:szCs w:val="20"/>
          <w:lang w:val="es-ES" w:eastAsia="es-ES"/>
        </w:rPr>
        <w:br/>
        <w:t>los diez (10) días de dictada la resolución de la Gerencia General que haga lugar a la impugnación</w:t>
      </w:r>
      <w:r w:rsidRPr="009D28CF">
        <w:rPr>
          <w:rFonts w:eastAsia="Times New Roman" w:cs="Arial"/>
          <w:bCs/>
          <w:sz w:val="20"/>
          <w:szCs w:val="20"/>
          <w:lang w:val="es-ES" w:eastAsia="es-ES"/>
        </w:rPr>
        <w:br/>
        <w:t>presentada. Si la impugnación fuera rechazada se ejecutará la garantía integrada.</w:t>
      </w:r>
    </w:p>
    <w:p w14:paraId="293DF8EE"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En los casos en que, luego de notificado el oferente o adjudicatario, no retirase las garantías dentro</w:t>
      </w:r>
      <w:r w:rsidRPr="009D28CF">
        <w:rPr>
          <w:rFonts w:eastAsia="Times New Roman" w:cs="Arial"/>
          <w:bCs/>
          <w:sz w:val="20"/>
          <w:szCs w:val="20"/>
          <w:lang w:val="es-ES" w:eastAsia="es-ES"/>
        </w:rPr>
        <w:br/>
        <w:t>del plazo de noventa (90) días corridos a contar desde la fecha de la notificación implicará, la renuncia</w:t>
      </w:r>
      <w:r w:rsidRPr="009D28CF">
        <w:rPr>
          <w:rFonts w:eastAsia="Times New Roman" w:cs="Arial"/>
          <w:bCs/>
          <w:sz w:val="20"/>
          <w:szCs w:val="20"/>
          <w:lang w:val="es-ES" w:eastAsia="es-ES"/>
        </w:rPr>
        <w:br/>
        <w:t>tácita a favor de Educ.ar S.E. de lo que constituya la garantía y al efecto la Gerencia General deberá:</w:t>
      </w:r>
    </w:p>
    <w:p w14:paraId="552D7464"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a) Ordenar el ingreso patrimonial de lo que constituye la garantía., cuando la forma de aquella permita</w:t>
      </w:r>
      <w:r w:rsidRPr="009D28CF">
        <w:rPr>
          <w:rFonts w:eastAsia="Times New Roman" w:cs="Arial"/>
          <w:bCs/>
          <w:sz w:val="20"/>
          <w:szCs w:val="20"/>
          <w:lang w:val="es-ES" w:eastAsia="es-ES"/>
        </w:rPr>
        <w:br/>
        <w:t>tal ingreso.</w:t>
      </w:r>
    </w:p>
    <w:p w14:paraId="122E0AF3" w14:textId="77777777" w:rsidR="009D28CF" w:rsidRPr="009D28CF" w:rsidRDefault="00B3423A" w:rsidP="009D28CF">
      <w:pPr>
        <w:spacing w:before="120" w:after="120" w:line="276" w:lineRule="auto"/>
        <w:ind w:left="644"/>
        <w:jc w:val="both"/>
        <w:rPr>
          <w:rFonts w:eastAsia="Times New Roman" w:cs="Arial"/>
          <w:bCs/>
          <w:sz w:val="20"/>
          <w:szCs w:val="20"/>
          <w:lang w:val="es-ES" w:eastAsia="es-ES"/>
        </w:rPr>
      </w:pPr>
      <w:r w:rsidRPr="009D28CF">
        <w:rPr>
          <w:rFonts w:eastAsia="Times New Roman" w:cs="Arial"/>
          <w:bCs/>
          <w:sz w:val="20"/>
          <w:szCs w:val="20"/>
          <w:lang w:val="es-ES" w:eastAsia="es-ES"/>
        </w:rPr>
        <w:br/>
        <w:t>b) Ordenar destruir aquellas garantías que hubiesen sido integradas mediante pagarés o aquellas que</w:t>
      </w:r>
      <w:r w:rsidRPr="009D28CF">
        <w:rPr>
          <w:rFonts w:eastAsia="Times New Roman" w:cs="Arial"/>
          <w:bCs/>
          <w:sz w:val="20"/>
          <w:szCs w:val="20"/>
          <w:lang w:val="es-ES" w:eastAsia="es-ES"/>
        </w:rPr>
        <w:br/>
        <w:t>no puedan ser ingresadas patrimonialmente, como las pólizas de seguro de caución, el aval bancario</w:t>
      </w:r>
      <w:r w:rsidRPr="009D28CF">
        <w:rPr>
          <w:rFonts w:eastAsia="Times New Roman" w:cs="Arial"/>
          <w:bCs/>
          <w:sz w:val="20"/>
          <w:szCs w:val="20"/>
          <w:lang w:val="es-ES" w:eastAsia="es-ES"/>
        </w:rPr>
        <w:br/>
        <w:t>u otra fianza.</w:t>
      </w:r>
    </w:p>
    <w:p w14:paraId="7F517CB3" w14:textId="330C0056" w:rsidR="00B3423A" w:rsidRPr="005A7CE8" w:rsidRDefault="00B3423A" w:rsidP="005A7CE8">
      <w:pPr>
        <w:spacing w:before="120" w:after="120" w:line="276" w:lineRule="auto"/>
        <w:ind w:left="644"/>
        <w:jc w:val="both"/>
        <w:rPr>
          <w:rStyle w:val="fontstyle21"/>
          <w:rFonts w:asciiTheme="minorHAnsi" w:eastAsia="Times New Roman" w:hAnsiTheme="minorHAnsi" w:cs="Arial"/>
          <w:bCs/>
          <w:color w:val="auto"/>
          <w:lang w:val="es-ES" w:eastAsia="es-ES"/>
        </w:rPr>
      </w:pPr>
      <w:r w:rsidRPr="009D28CF">
        <w:rPr>
          <w:rFonts w:eastAsia="Times New Roman" w:cs="Arial"/>
          <w:bCs/>
          <w:sz w:val="20"/>
          <w:szCs w:val="20"/>
          <w:lang w:val="es-ES" w:eastAsia="es-ES"/>
        </w:rPr>
        <w:lastRenderedPageBreak/>
        <w:br/>
        <w:t>Las devoluciones de las garantías deberán solicitarse vía correo electrónico a la siguiente dirección:</w:t>
      </w:r>
      <w:r w:rsidRPr="009D28CF">
        <w:rPr>
          <w:rFonts w:eastAsia="Times New Roman" w:cs="Arial"/>
          <w:bCs/>
          <w:sz w:val="20"/>
          <w:szCs w:val="20"/>
          <w:lang w:val="es-ES" w:eastAsia="es-ES"/>
        </w:rPr>
        <w:br/>
        <w:t>garantias@educar.gob.ar conforme a los plazos citados anteriormente.</w:t>
      </w:r>
    </w:p>
    <w:p w14:paraId="3C8413F5" w14:textId="77777777" w:rsidR="005A7CE8" w:rsidRPr="00AB1798" w:rsidRDefault="005A7CE8" w:rsidP="005A7CE8">
      <w:pPr>
        <w:spacing w:before="120" w:after="120" w:line="276" w:lineRule="auto"/>
        <w:jc w:val="both"/>
        <w:rPr>
          <w:rFonts w:cs="Arial"/>
          <w:bCs/>
          <w:sz w:val="20"/>
        </w:rPr>
      </w:pPr>
    </w:p>
    <w:p w14:paraId="4AF0C93E" w14:textId="4463BC49" w:rsidR="00310034" w:rsidRPr="005A7CE8" w:rsidRDefault="00310034" w:rsidP="005A7CE8">
      <w:pPr>
        <w:pStyle w:val="Prrafodelista"/>
        <w:numPr>
          <w:ilvl w:val="0"/>
          <w:numId w:val="1"/>
        </w:numPr>
        <w:spacing w:before="120" w:after="120" w:line="276" w:lineRule="auto"/>
        <w:ind w:left="284" w:hanging="284"/>
        <w:jc w:val="both"/>
        <w:rPr>
          <w:rFonts w:cs="Arial"/>
          <w:bCs/>
          <w:sz w:val="20"/>
        </w:rPr>
      </w:pPr>
      <w:r w:rsidRPr="005A7CE8">
        <w:rPr>
          <w:rFonts w:cs="Arial"/>
          <w:bCs/>
          <w:sz w:val="20"/>
        </w:rPr>
        <w:t>La Certificación de los bienes y/o servicios entregados el Adjudicatario será emitida por la Comisión de Recepción Definitiva con posterioridad a la prestación del servicio o entrega de los bienes en tiempo y forma solicitados. Cuando un bien resultare defectuoso, ya sea por fallas del material o de la ejecución, el Adjudicatario lo corregirá si es posible o, en caso contrario, lo desarmará y reconstruirá a su costa, sin que ello pueda justificar ampliación de plazo. Toda recepción parcial o total, de un bien o servicio, tendrá carácter provisional hasta tanto se emita el Certificado de Recepción Definitiva, firmado por la Comisión de Recepción Definitiva.</w:t>
      </w:r>
    </w:p>
    <w:p w14:paraId="12653055" w14:textId="08A4727D" w:rsidR="00310034" w:rsidRPr="00AB1798" w:rsidRDefault="00310034" w:rsidP="005A7CE8">
      <w:pPr>
        <w:numPr>
          <w:ilvl w:val="0"/>
          <w:numId w:val="1"/>
        </w:numPr>
        <w:spacing w:before="120" w:after="120" w:line="276" w:lineRule="auto"/>
        <w:ind w:left="284" w:hanging="284"/>
        <w:jc w:val="both"/>
        <w:rPr>
          <w:rFonts w:cs="Arial"/>
          <w:bCs/>
          <w:sz w:val="20"/>
        </w:rPr>
      </w:pPr>
      <w:r w:rsidRPr="00AB1798">
        <w:rPr>
          <w:rFonts w:cs="Arial"/>
          <w:bCs/>
          <w:sz w:val="20"/>
        </w:rPr>
        <w:t xml:space="preserve">Las facturas deberán ser enviadas por mail </w:t>
      </w:r>
      <w:r w:rsidRPr="00AB1798">
        <w:rPr>
          <w:rFonts w:cs="Arial"/>
          <w:b/>
          <w:bCs/>
          <w:sz w:val="20"/>
        </w:rPr>
        <w:t xml:space="preserve">al área que requirió los bienes y/o servicios, en este caso </w:t>
      </w:r>
      <w:hyperlink r:id="rId8" w:history="1">
        <w:r w:rsidR="005A7CE8" w:rsidRPr="00185B53">
          <w:rPr>
            <w:rStyle w:val="Hipervnculo"/>
            <w:rFonts w:ascii="Calibri" w:hAnsi="Calibri" w:cs="Calibri"/>
            <w:sz w:val="20"/>
            <w:szCs w:val="20"/>
          </w:rPr>
          <w:t>msfernandez@educar.gob.ar</w:t>
        </w:r>
      </w:hyperlink>
      <w:r w:rsidR="005A7CE8">
        <w:t xml:space="preserve"> </w:t>
      </w:r>
      <w:r w:rsidRPr="005802FB">
        <w:rPr>
          <w:rFonts w:cs="Arial"/>
          <w:b/>
          <w:bCs/>
          <w:sz w:val="20"/>
        </w:rPr>
        <w:t>con</w:t>
      </w:r>
      <w:r w:rsidRPr="00AB1798">
        <w:rPr>
          <w:rFonts w:cs="Arial"/>
          <w:b/>
          <w:bCs/>
          <w:sz w:val="20"/>
        </w:rPr>
        <w:t xml:space="preserve"> copia a</w:t>
      </w:r>
      <w:r w:rsidRPr="00AB1798">
        <w:rPr>
          <w:rFonts w:cs="Arial"/>
          <w:sz w:val="20"/>
        </w:rPr>
        <w:t xml:space="preserve"> </w:t>
      </w:r>
      <w:hyperlink r:id="rId9" w:history="1">
        <w:r w:rsidRPr="00AB1798">
          <w:rPr>
            <w:rStyle w:val="Hipervnculo"/>
            <w:rFonts w:cs="Arial"/>
            <w:sz w:val="20"/>
          </w:rPr>
          <w:t>facturacion@educar.gob.ar</w:t>
        </w:r>
      </w:hyperlink>
      <w:r w:rsidRPr="00AB1798">
        <w:rPr>
          <w:rFonts w:cs="Arial"/>
          <w:b/>
          <w:bCs/>
          <w:sz w:val="20"/>
        </w:rPr>
        <w:t xml:space="preserve"> </w:t>
      </w:r>
      <w:r w:rsidRPr="00AB1798">
        <w:rPr>
          <w:rFonts w:cs="Arial"/>
          <w:bCs/>
          <w:sz w:val="20"/>
        </w:rPr>
        <w:t>. Las facturas deberán ser emitidas observando los requisitos de la legislación vigente y volcando en las mismas los números de expediente y orden de compra emitida por Educ.ar S.E., sin excepción.</w:t>
      </w:r>
    </w:p>
    <w:p w14:paraId="4EFBFA6E" w14:textId="20A644BC" w:rsidR="00310034" w:rsidRPr="001332FF" w:rsidRDefault="00310034" w:rsidP="005A7CE8">
      <w:pPr>
        <w:numPr>
          <w:ilvl w:val="0"/>
          <w:numId w:val="1"/>
        </w:numPr>
        <w:spacing w:before="120" w:after="120" w:line="276" w:lineRule="auto"/>
        <w:ind w:left="284" w:hanging="284"/>
        <w:jc w:val="both"/>
        <w:rPr>
          <w:rFonts w:cs="Arial"/>
          <w:bCs/>
          <w:sz w:val="20"/>
        </w:rPr>
      </w:pPr>
      <w:r w:rsidRPr="001332FF">
        <w:rPr>
          <w:rFonts w:cs="Arial"/>
          <w:bCs/>
          <w:sz w:val="20"/>
        </w:rPr>
        <w:t xml:space="preserve">Forma de pago: a mes vencido contra prestación de servicios. Los pagos se realizarán con transferencia bancaria dentro de los </w:t>
      </w:r>
      <w:r w:rsidR="00190613">
        <w:rPr>
          <w:rFonts w:cs="Arial"/>
          <w:bCs/>
          <w:sz w:val="20"/>
        </w:rPr>
        <w:t>treinta</w:t>
      </w:r>
      <w:r w:rsidRPr="001332FF">
        <w:rPr>
          <w:rFonts w:cs="Arial"/>
          <w:bCs/>
          <w:sz w:val="20"/>
        </w:rPr>
        <w:t xml:space="preserve"> (</w:t>
      </w:r>
      <w:r w:rsidR="00190613">
        <w:rPr>
          <w:rFonts w:cs="Arial"/>
          <w:bCs/>
          <w:sz w:val="20"/>
        </w:rPr>
        <w:t>30</w:t>
      </w:r>
      <w:r w:rsidRPr="001332FF">
        <w:rPr>
          <w:rFonts w:cs="Arial"/>
          <w:bCs/>
          <w:sz w:val="20"/>
        </w:rPr>
        <w:t>) días hábiles de la recepción definitiva de la factura. - Precio IVA incluido</w:t>
      </w:r>
      <w:r>
        <w:rPr>
          <w:rFonts w:cs="Arial"/>
          <w:bCs/>
          <w:sz w:val="20"/>
        </w:rPr>
        <w:t>.</w:t>
      </w:r>
    </w:p>
    <w:p w14:paraId="33C327BA" w14:textId="77777777" w:rsidR="00310034" w:rsidRPr="00AB1798" w:rsidRDefault="00310034" w:rsidP="005A7CE8">
      <w:pPr>
        <w:numPr>
          <w:ilvl w:val="0"/>
          <w:numId w:val="1"/>
        </w:numPr>
        <w:spacing w:before="120" w:after="120" w:line="276" w:lineRule="auto"/>
        <w:ind w:left="284" w:hanging="284"/>
        <w:jc w:val="both"/>
        <w:rPr>
          <w:rFonts w:cs="Arial"/>
          <w:bCs/>
          <w:sz w:val="20"/>
        </w:rPr>
      </w:pPr>
      <w:r w:rsidRPr="00AB1798">
        <w:rPr>
          <w:rFonts w:cs="Arial"/>
          <w:bCs/>
          <w:sz w:val="20"/>
          <w:lang w:val="es-ES"/>
        </w:rPr>
        <w:t>E</w:t>
      </w:r>
      <w:r w:rsidRPr="00AB1798">
        <w:rPr>
          <w:rFonts w:cs="Arial"/>
          <w:bCs/>
          <w:sz w:val="20"/>
        </w:rPr>
        <w:t>l pago será efectuado a través de transferencia bancaria a una cuenta declarada por el Adjudicatario o a través de la emisión de cheques cruzados a nombre del Adjudicatario, con la cláusula no a la orden. En caso de que el cheque sea retirado por una persona autorizada por el Adjudicatario, la misma deberá presentar la autorización expresa emitida por el proveedor adjudicatario que identifique nombre, apellido y DNI.</w:t>
      </w:r>
    </w:p>
    <w:p w14:paraId="60D7D546" w14:textId="77777777" w:rsidR="00310034" w:rsidRPr="00AB1798" w:rsidRDefault="00310034" w:rsidP="005A7CE8">
      <w:pPr>
        <w:numPr>
          <w:ilvl w:val="0"/>
          <w:numId w:val="1"/>
        </w:numPr>
        <w:spacing w:before="120" w:after="120" w:line="276" w:lineRule="auto"/>
        <w:ind w:left="284" w:hanging="284"/>
        <w:jc w:val="both"/>
        <w:rPr>
          <w:rFonts w:cs="Arial"/>
          <w:bCs/>
          <w:sz w:val="20"/>
        </w:rPr>
      </w:pPr>
      <w:r w:rsidRPr="00AB1798">
        <w:rPr>
          <w:rFonts w:cs="Arial"/>
          <w:bCs/>
          <w:sz w:val="20"/>
        </w:rPr>
        <w:t xml:space="preserve">Educ.ar S.E. no autorizará ningún pago originado en la presente contratación cuando el Adjudicatario no se encuentre inscripto ante la AFIP en la categoría correspondiente a sus ingresos, hasta tanto no se </w:t>
      </w:r>
      <w:proofErr w:type="spellStart"/>
      <w:r w:rsidRPr="00AB1798">
        <w:rPr>
          <w:rFonts w:cs="Arial"/>
          <w:bCs/>
          <w:sz w:val="20"/>
        </w:rPr>
        <w:t>re-categorice</w:t>
      </w:r>
      <w:proofErr w:type="spellEnd"/>
      <w:r w:rsidRPr="00AB1798">
        <w:rPr>
          <w:rFonts w:cs="Arial"/>
          <w:bCs/>
          <w:sz w:val="20"/>
        </w:rPr>
        <w:t xml:space="preserve"> según la normativa vigente, el plazo contractualmente previsto para el pago comenzará a computarse a partir de esta fecha.</w:t>
      </w:r>
    </w:p>
    <w:p w14:paraId="531DBBF0" w14:textId="77777777" w:rsidR="00310034" w:rsidRPr="00AB1798" w:rsidRDefault="00310034" w:rsidP="005A7CE8">
      <w:pPr>
        <w:numPr>
          <w:ilvl w:val="0"/>
          <w:numId w:val="1"/>
        </w:numPr>
        <w:spacing w:before="120" w:after="120" w:line="276" w:lineRule="auto"/>
        <w:ind w:left="284" w:hanging="284"/>
        <w:jc w:val="both"/>
        <w:outlineLvl w:val="0"/>
        <w:rPr>
          <w:rFonts w:cs="Courier New"/>
          <w:b/>
          <w:sz w:val="20"/>
        </w:rPr>
      </w:pPr>
      <w:r w:rsidRPr="00AB1798">
        <w:rPr>
          <w:rFonts w:cs="Arial"/>
          <w:bCs/>
          <w:sz w:val="20"/>
        </w:rPr>
        <w:t>La Adjudicación será por renglón único o separado según lo que se establezca en el ANEXO II.</w:t>
      </w:r>
    </w:p>
    <w:p w14:paraId="36BFDA67" w14:textId="77777777" w:rsidR="00310034" w:rsidRPr="00AB1798" w:rsidRDefault="00310034" w:rsidP="005A7CE8">
      <w:pPr>
        <w:numPr>
          <w:ilvl w:val="0"/>
          <w:numId w:val="1"/>
        </w:numPr>
        <w:spacing w:before="120" w:after="120" w:line="276" w:lineRule="auto"/>
        <w:ind w:left="284" w:hanging="284"/>
        <w:jc w:val="both"/>
        <w:outlineLvl w:val="0"/>
        <w:rPr>
          <w:rFonts w:cs="Courier New"/>
          <w:b/>
          <w:sz w:val="20"/>
        </w:rPr>
      </w:pPr>
      <w:r w:rsidRPr="00AB1798">
        <w:rPr>
          <w:rFonts w:cs="Courier New"/>
          <w:sz w:val="20"/>
        </w:rPr>
        <w:t>El incumplimiento de las obligaciones contraídas por los oferentes y los a</w:t>
      </w:r>
      <w:r w:rsidRPr="00AB1798">
        <w:rPr>
          <w:rFonts w:cs="Arial"/>
          <w:bCs/>
          <w:sz w:val="20"/>
        </w:rPr>
        <w:t>djudicata</w:t>
      </w:r>
      <w:r w:rsidRPr="00AB1798">
        <w:rPr>
          <w:rFonts w:cs="Courier New"/>
          <w:sz w:val="20"/>
        </w:rPr>
        <w:t>rios dará lugar a la aplicación de las penalidades y sanciones fijadas en el Reglamento de Compras y Contrataciones vigente.</w:t>
      </w:r>
    </w:p>
    <w:p w14:paraId="792A70B0" w14:textId="19DD1803" w:rsidR="00310034" w:rsidRPr="00AB1798" w:rsidRDefault="00310034" w:rsidP="005A7CE8">
      <w:pPr>
        <w:numPr>
          <w:ilvl w:val="0"/>
          <w:numId w:val="1"/>
        </w:numPr>
        <w:spacing w:before="120" w:after="120" w:line="276" w:lineRule="auto"/>
        <w:ind w:left="284" w:hanging="284"/>
        <w:jc w:val="both"/>
        <w:outlineLvl w:val="0"/>
        <w:rPr>
          <w:rFonts w:cs="Courier New"/>
          <w:b/>
          <w:sz w:val="20"/>
        </w:rPr>
      </w:pPr>
      <w:r w:rsidRPr="00AB1798">
        <w:rPr>
          <w:rFonts w:cs="Arial"/>
          <w:bCs/>
          <w:sz w:val="20"/>
        </w:rPr>
        <w:t xml:space="preserve">Educ.ar S.E. podrá dejar sin efecto el procedimiento de contratación en cualquier momento anterior al perfeccionamiento del contrato, sin lugar a indemnización alguna en favor de los interesados, oferente o </w:t>
      </w:r>
      <w:proofErr w:type="spellStart"/>
      <w:r w:rsidR="00EC284C">
        <w:rPr>
          <w:rFonts w:cs="Arial"/>
          <w:bCs/>
          <w:sz w:val="20"/>
        </w:rPr>
        <w:t>pre-</w:t>
      </w:r>
      <w:r w:rsidRPr="00AB1798">
        <w:rPr>
          <w:rFonts w:cs="Arial"/>
          <w:bCs/>
          <w:sz w:val="20"/>
        </w:rPr>
        <w:t>adjudicatarios</w:t>
      </w:r>
      <w:proofErr w:type="spellEnd"/>
      <w:r w:rsidRPr="00AB1798">
        <w:rPr>
          <w:rFonts w:cs="Arial"/>
          <w:bCs/>
          <w:sz w:val="20"/>
        </w:rPr>
        <w:t>.</w:t>
      </w:r>
    </w:p>
    <w:p w14:paraId="6C3216E2" w14:textId="77777777" w:rsidR="00310034" w:rsidRPr="00AB1798" w:rsidRDefault="00310034" w:rsidP="005A7CE8">
      <w:pPr>
        <w:numPr>
          <w:ilvl w:val="0"/>
          <w:numId w:val="1"/>
        </w:numPr>
        <w:spacing w:before="120" w:after="120" w:line="276" w:lineRule="auto"/>
        <w:ind w:left="284" w:hanging="284"/>
        <w:jc w:val="both"/>
        <w:outlineLvl w:val="0"/>
        <w:rPr>
          <w:rFonts w:cs="Arial"/>
          <w:bCs/>
          <w:sz w:val="20"/>
        </w:rPr>
      </w:pPr>
      <w:r w:rsidRPr="00AB1798">
        <w:rPr>
          <w:rFonts w:cs="Arial"/>
          <w:bCs/>
          <w:sz w:val="20"/>
        </w:rPr>
        <w:t>Para cualquier acción legal que la presente contratación pudiera dar lugar, las partes se someten a la jurisdicción de los Tribunales de la Justicia Nacional en lo contencioso Administrativo Federal, con expresa renuncia de otro fuero o jurisdicción que pudiere corresponder.</w:t>
      </w:r>
    </w:p>
    <w:p w14:paraId="58A4BB2F" w14:textId="77777777" w:rsidR="00310034" w:rsidRDefault="00310034" w:rsidP="00310034">
      <w:pPr>
        <w:rPr>
          <w:rFonts w:cs="Arial"/>
          <w:bCs/>
          <w:sz w:val="18"/>
          <w:szCs w:val="18"/>
        </w:rPr>
      </w:pPr>
      <w:r>
        <w:rPr>
          <w:rFonts w:cs="Arial"/>
          <w:bCs/>
          <w:sz w:val="18"/>
          <w:szCs w:val="18"/>
        </w:rPr>
        <w:br w:type="page"/>
      </w:r>
    </w:p>
    <w:tbl>
      <w:tblPr>
        <w:tblW w:w="9493" w:type="dxa"/>
        <w:jc w:val="center"/>
        <w:tblCellMar>
          <w:left w:w="70" w:type="dxa"/>
          <w:right w:w="70" w:type="dxa"/>
        </w:tblCellMar>
        <w:tblLook w:val="04A0" w:firstRow="1" w:lastRow="0" w:firstColumn="1" w:lastColumn="0" w:noHBand="0" w:noVBand="1"/>
      </w:tblPr>
      <w:tblGrid>
        <w:gridCol w:w="1937"/>
        <w:gridCol w:w="1033"/>
        <w:gridCol w:w="591"/>
        <w:gridCol w:w="739"/>
        <w:gridCol w:w="442"/>
        <w:gridCol w:w="1477"/>
        <w:gridCol w:w="3274"/>
      </w:tblGrid>
      <w:tr w:rsidR="00310034" w:rsidRPr="004D6E4D" w14:paraId="248D2851" w14:textId="77777777" w:rsidTr="00DF4ADB">
        <w:trPr>
          <w:trHeight w:val="381"/>
          <w:tblHeader/>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DE73F" w14:textId="77777777" w:rsidR="00310034" w:rsidRPr="004D6E4D" w:rsidRDefault="00310034" w:rsidP="009F4637">
            <w:pPr>
              <w:jc w:val="center"/>
              <w:rPr>
                <w:rFonts w:ascii="Calibri" w:hAnsi="Calibri"/>
                <w:b/>
                <w:bCs/>
                <w:color w:val="000000"/>
                <w:sz w:val="20"/>
                <w:lang w:eastAsia="es-AR"/>
              </w:rPr>
            </w:pPr>
            <w:r w:rsidRPr="004D6E4D">
              <w:rPr>
                <w:rFonts w:cs="Arial"/>
                <w:bCs/>
                <w:sz w:val="20"/>
              </w:rPr>
              <w:lastRenderedPageBreak/>
              <w:br w:type="page"/>
            </w:r>
            <w:r w:rsidRPr="004D6E4D">
              <w:rPr>
                <w:rFonts w:cs="Arial"/>
                <w:bCs/>
                <w:sz w:val="20"/>
              </w:rPr>
              <w:br w:type="page"/>
            </w:r>
            <w:r w:rsidRPr="004D6E4D">
              <w:rPr>
                <w:rFonts w:cs="Arial"/>
                <w:b/>
                <w:bCs/>
                <w:sz w:val="20"/>
              </w:rPr>
              <w:br w:type="page"/>
            </w:r>
            <w:r w:rsidRPr="004D6E4D">
              <w:rPr>
                <w:rFonts w:ascii="Calibri" w:hAnsi="Calibri"/>
                <w:b/>
                <w:bCs/>
                <w:color w:val="000000"/>
                <w:sz w:val="20"/>
                <w:lang w:eastAsia="es-AR"/>
              </w:rPr>
              <w:t>ANEXO I - ESPECIFICACIONES TÉCNICAS</w:t>
            </w:r>
          </w:p>
        </w:tc>
      </w:tr>
      <w:tr w:rsidR="00310034" w:rsidRPr="004D6E4D" w14:paraId="10DA83F1" w14:textId="77777777" w:rsidTr="00DF4ADB">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5650696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Expediente</w:t>
            </w:r>
          </w:p>
        </w:tc>
        <w:tc>
          <w:tcPr>
            <w:tcW w:w="7556" w:type="dxa"/>
            <w:gridSpan w:val="6"/>
            <w:tcBorders>
              <w:top w:val="single" w:sz="4" w:space="0" w:color="auto"/>
              <w:left w:val="nil"/>
              <w:bottom w:val="single" w:sz="4" w:space="0" w:color="auto"/>
              <w:right w:val="single" w:sz="4" w:space="0" w:color="auto"/>
            </w:tcBorders>
            <w:shd w:val="clear" w:color="auto" w:fill="auto"/>
            <w:noWrap/>
            <w:vAlign w:val="center"/>
          </w:tcPr>
          <w:p w14:paraId="65E8037B" w14:textId="031DC4D4" w:rsidR="00310034" w:rsidRPr="00ED1894" w:rsidRDefault="00883742" w:rsidP="009F4637">
            <w:pPr>
              <w:ind w:right="78"/>
              <w:rPr>
                <w:rFonts w:cstheme="minorHAnsi"/>
                <w:b/>
                <w:sz w:val="20"/>
                <w:highlight w:val="yellow"/>
              </w:rPr>
            </w:pPr>
            <w:r w:rsidRPr="00883742">
              <w:rPr>
                <w:rFonts w:cstheme="minorHAnsi"/>
                <w:b/>
                <w:i/>
                <w:iCs/>
                <w:sz w:val="20"/>
              </w:rPr>
              <w:t>EX-2022-73460999- -APN-DAYF#EDUCAR</w:t>
            </w:r>
          </w:p>
        </w:tc>
      </w:tr>
      <w:tr w:rsidR="00310034" w:rsidRPr="004D6E4D" w14:paraId="0B640BC4" w14:textId="77777777" w:rsidTr="00DF4ADB">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2A046A8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Objeto</w:t>
            </w:r>
          </w:p>
        </w:tc>
        <w:tc>
          <w:tcPr>
            <w:tcW w:w="7556" w:type="dxa"/>
            <w:gridSpan w:val="6"/>
            <w:tcBorders>
              <w:top w:val="single" w:sz="4" w:space="0" w:color="auto"/>
              <w:left w:val="nil"/>
              <w:bottom w:val="single" w:sz="4" w:space="0" w:color="auto"/>
              <w:right w:val="single" w:sz="4" w:space="0" w:color="auto"/>
            </w:tcBorders>
            <w:shd w:val="clear" w:color="auto" w:fill="auto"/>
            <w:noWrap/>
            <w:vAlign w:val="center"/>
          </w:tcPr>
          <w:p w14:paraId="067681F3" w14:textId="3E98959A" w:rsidR="00310034" w:rsidRPr="00730ECE" w:rsidRDefault="00883742" w:rsidP="009F4637">
            <w:pPr>
              <w:ind w:right="78"/>
              <w:rPr>
                <w:rFonts w:cstheme="minorHAnsi"/>
                <w:b/>
                <w:sz w:val="20"/>
              </w:rPr>
            </w:pPr>
            <w:r w:rsidRPr="00883742">
              <w:rPr>
                <w:rFonts w:cstheme="minorHAnsi"/>
                <w:b/>
                <w:i/>
                <w:iCs/>
                <w:sz w:val="20"/>
              </w:rPr>
              <w:t>ADQUISICION TABLETAS GRAFICAS</w:t>
            </w:r>
            <w:r w:rsidR="00617800">
              <w:rPr>
                <w:rFonts w:cstheme="minorHAnsi"/>
                <w:b/>
                <w:i/>
                <w:iCs/>
                <w:sz w:val="20"/>
              </w:rPr>
              <w:t xml:space="preserve">– </w:t>
            </w:r>
            <w:r>
              <w:rPr>
                <w:rFonts w:cstheme="minorHAnsi"/>
                <w:b/>
                <w:i/>
                <w:iCs/>
                <w:sz w:val="20"/>
              </w:rPr>
              <w:t>SEGUNDO</w:t>
            </w:r>
            <w:r w:rsidR="00617800">
              <w:rPr>
                <w:rFonts w:cstheme="minorHAnsi"/>
                <w:b/>
                <w:i/>
                <w:iCs/>
                <w:sz w:val="20"/>
              </w:rPr>
              <w:t xml:space="preserve"> LLAMADO</w:t>
            </w:r>
          </w:p>
        </w:tc>
      </w:tr>
      <w:tr w:rsidR="00310034" w:rsidRPr="004D6E4D" w14:paraId="50C60766" w14:textId="77777777" w:rsidTr="00DF4ADB">
        <w:trPr>
          <w:trHeight w:val="61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1824126E"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Lugar de entrega</w:t>
            </w:r>
            <w:r>
              <w:rPr>
                <w:rFonts w:ascii="Calibri" w:hAnsi="Calibri"/>
                <w:b/>
                <w:bCs/>
                <w:color w:val="000000"/>
                <w:sz w:val="20"/>
                <w:lang w:eastAsia="es-AR"/>
              </w:rPr>
              <w:t xml:space="preserve"> / servicio</w:t>
            </w:r>
          </w:p>
        </w:tc>
        <w:tc>
          <w:tcPr>
            <w:tcW w:w="7556" w:type="dxa"/>
            <w:gridSpan w:val="6"/>
            <w:tcBorders>
              <w:top w:val="single" w:sz="4" w:space="0" w:color="auto"/>
              <w:left w:val="nil"/>
              <w:bottom w:val="single" w:sz="4" w:space="0" w:color="auto"/>
              <w:right w:val="single" w:sz="4" w:space="0" w:color="auto"/>
            </w:tcBorders>
            <w:shd w:val="clear" w:color="auto" w:fill="auto"/>
            <w:noWrap/>
            <w:vAlign w:val="center"/>
          </w:tcPr>
          <w:p w14:paraId="3AE3D097" w14:textId="48EC1CBE" w:rsidR="00310034" w:rsidRPr="00883742" w:rsidRDefault="00883742" w:rsidP="00883742">
            <w:pPr>
              <w:jc w:val="both"/>
            </w:pPr>
            <w:r>
              <w:rPr>
                <w:rStyle w:val="fontstyle01"/>
              </w:rPr>
              <w:t>Educ.ar S.E. - Comodoro Martín Rivadavia 1151, C.A.B.A.</w:t>
            </w:r>
          </w:p>
        </w:tc>
      </w:tr>
      <w:tr w:rsidR="00310034" w:rsidRPr="004D6E4D" w14:paraId="4615030C" w14:textId="77777777" w:rsidTr="00DF4ADB">
        <w:trPr>
          <w:trHeight w:val="381"/>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5816A606"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Anticipo</w:t>
            </w:r>
          </w:p>
        </w:tc>
        <w:tc>
          <w:tcPr>
            <w:tcW w:w="1033" w:type="dxa"/>
            <w:tcBorders>
              <w:top w:val="nil"/>
              <w:left w:val="nil"/>
              <w:bottom w:val="single" w:sz="4" w:space="0" w:color="auto"/>
              <w:right w:val="single" w:sz="4" w:space="0" w:color="auto"/>
            </w:tcBorders>
            <w:shd w:val="clear" w:color="auto" w:fill="auto"/>
            <w:noWrap/>
            <w:vAlign w:val="center"/>
            <w:hideMark/>
          </w:tcPr>
          <w:p w14:paraId="77EC297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SI</w:t>
            </w:r>
          </w:p>
        </w:tc>
        <w:tc>
          <w:tcPr>
            <w:tcW w:w="591" w:type="dxa"/>
            <w:tcBorders>
              <w:top w:val="nil"/>
              <w:left w:val="nil"/>
              <w:bottom w:val="single" w:sz="4" w:space="0" w:color="auto"/>
              <w:right w:val="single" w:sz="4" w:space="0" w:color="auto"/>
            </w:tcBorders>
            <w:shd w:val="clear" w:color="auto" w:fill="auto"/>
            <w:noWrap/>
            <w:vAlign w:val="center"/>
            <w:hideMark/>
          </w:tcPr>
          <w:p w14:paraId="39FEB828"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c>
          <w:tcPr>
            <w:tcW w:w="739" w:type="dxa"/>
            <w:tcBorders>
              <w:top w:val="nil"/>
              <w:left w:val="nil"/>
              <w:bottom w:val="single" w:sz="4" w:space="0" w:color="auto"/>
              <w:right w:val="single" w:sz="4" w:space="0" w:color="auto"/>
            </w:tcBorders>
            <w:shd w:val="clear" w:color="auto" w:fill="auto"/>
            <w:noWrap/>
            <w:vAlign w:val="center"/>
            <w:hideMark/>
          </w:tcPr>
          <w:p w14:paraId="7BEBA3C7"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NO</w:t>
            </w:r>
          </w:p>
        </w:tc>
        <w:tc>
          <w:tcPr>
            <w:tcW w:w="442" w:type="dxa"/>
            <w:tcBorders>
              <w:top w:val="nil"/>
              <w:left w:val="nil"/>
              <w:bottom w:val="single" w:sz="4" w:space="0" w:color="auto"/>
              <w:right w:val="single" w:sz="4" w:space="0" w:color="auto"/>
            </w:tcBorders>
            <w:shd w:val="clear" w:color="auto" w:fill="auto"/>
            <w:noWrap/>
            <w:vAlign w:val="center"/>
            <w:hideMark/>
          </w:tcPr>
          <w:p w14:paraId="19F713EA"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X </w:t>
            </w:r>
          </w:p>
        </w:tc>
        <w:tc>
          <w:tcPr>
            <w:tcW w:w="1477" w:type="dxa"/>
            <w:tcBorders>
              <w:top w:val="nil"/>
              <w:left w:val="nil"/>
              <w:bottom w:val="single" w:sz="4" w:space="0" w:color="auto"/>
              <w:right w:val="single" w:sz="4" w:space="0" w:color="auto"/>
            </w:tcBorders>
            <w:shd w:val="clear" w:color="auto" w:fill="auto"/>
            <w:noWrap/>
            <w:vAlign w:val="center"/>
            <w:hideMark/>
          </w:tcPr>
          <w:p w14:paraId="36C3ACFC"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Porcentaje</w:t>
            </w:r>
          </w:p>
        </w:tc>
        <w:tc>
          <w:tcPr>
            <w:tcW w:w="3274" w:type="dxa"/>
            <w:tcBorders>
              <w:top w:val="nil"/>
              <w:left w:val="nil"/>
              <w:bottom w:val="single" w:sz="4" w:space="0" w:color="auto"/>
              <w:right w:val="single" w:sz="4" w:space="0" w:color="auto"/>
            </w:tcBorders>
            <w:shd w:val="clear" w:color="auto" w:fill="auto"/>
            <w:noWrap/>
            <w:vAlign w:val="center"/>
            <w:hideMark/>
          </w:tcPr>
          <w:p w14:paraId="0BD00323"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r>
      <w:tr w:rsidR="00310034" w:rsidRPr="004D6E4D" w14:paraId="74B600ED" w14:textId="77777777" w:rsidTr="00DF4ADB">
        <w:trPr>
          <w:trHeight w:val="610"/>
          <w:jc w:val="center"/>
        </w:trPr>
        <w:tc>
          <w:tcPr>
            <w:tcW w:w="1937" w:type="dxa"/>
            <w:tcBorders>
              <w:top w:val="nil"/>
              <w:left w:val="single" w:sz="4" w:space="0" w:color="auto"/>
              <w:bottom w:val="single" w:sz="4" w:space="0" w:color="auto"/>
              <w:right w:val="single" w:sz="4" w:space="0" w:color="auto"/>
            </w:tcBorders>
            <w:shd w:val="clear" w:color="auto" w:fill="auto"/>
            <w:vAlign w:val="center"/>
            <w:hideMark/>
          </w:tcPr>
          <w:p w14:paraId="2F22B91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 xml:space="preserve">Garantía del bien o servicio </w:t>
            </w:r>
          </w:p>
        </w:tc>
        <w:tc>
          <w:tcPr>
            <w:tcW w:w="755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23064F" w14:textId="2B65E433" w:rsidR="00310034" w:rsidRPr="004D6E4D" w:rsidRDefault="009B4776" w:rsidP="009F4637">
            <w:pPr>
              <w:rPr>
                <w:rFonts w:ascii="Calibri" w:hAnsi="Calibri"/>
                <w:color w:val="000000"/>
                <w:sz w:val="20"/>
                <w:lang w:eastAsia="es-AR"/>
              </w:rPr>
            </w:pPr>
            <w:r>
              <w:rPr>
                <w:rFonts w:ascii="Calibri" w:hAnsi="Calibri"/>
                <w:color w:val="000000"/>
                <w:sz w:val="20"/>
                <w:lang w:eastAsia="es-AR"/>
              </w:rPr>
              <w:t>De acuerdo con</w:t>
            </w:r>
            <w:r w:rsidR="00310034">
              <w:rPr>
                <w:rFonts w:ascii="Calibri" w:hAnsi="Calibri"/>
                <w:color w:val="000000"/>
                <w:sz w:val="20"/>
                <w:lang w:eastAsia="es-AR"/>
              </w:rPr>
              <w:t xml:space="preserve"> las Especificaciones Técnicas</w:t>
            </w:r>
          </w:p>
        </w:tc>
      </w:tr>
      <w:tr w:rsidR="00310034" w:rsidRPr="004D6E4D" w14:paraId="328BB5B7" w14:textId="77777777" w:rsidTr="00DF4ADB">
        <w:trPr>
          <w:trHeight w:val="381"/>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3B6B007" w14:textId="431D97C8" w:rsidR="00310034" w:rsidRPr="00D036F8" w:rsidRDefault="002C33EA" w:rsidP="00883742">
            <w:pPr>
              <w:spacing w:line="360" w:lineRule="auto"/>
              <w:jc w:val="both"/>
              <w:rPr>
                <w:rFonts w:cstheme="minorHAnsi"/>
                <w:sz w:val="18"/>
                <w:szCs w:val="18"/>
                <w:highlight w:val="yellow"/>
              </w:rPr>
            </w:pPr>
            <w:bookmarkStart w:id="0" w:name="_Hlk99708061"/>
            <w:r w:rsidRPr="00DB4C87">
              <w:rPr>
                <w:rFonts w:asciiTheme="majorHAnsi" w:hAnsiTheme="majorHAnsi" w:cstheme="majorHAnsi"/>
              </w:rPr>
              <w:t xml:space="preserve"> </w:t>
            </w:r>
            <w:bookmarkEnd w:id="0"/>
          </w:p>
        </w:tc>
      </w:tr>
      <w:tr w:rsidR="00883742" w:rsidRPr="00883742" w14:paraId="4C7E9294" w14:textId="77777777" w:rsidTr="00DF4ADB">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9493" w:type="dxa"/>
            <w:gridSpan w:val="7"/>
            <w:tcBorders>
              <w:top w:val="single" w:sz="4" w:space="0" w:color="auto"/>
              <w:left w:val="single" w:sz="4" w:space="0" w:color="auto"/>
              <w:bottom w:val="single" w:sz="4" w:space="0" w:color="auto"/>
              <w:right w:val="single" w:sz="4" w:space="0" w:color="auto"/>
            </w:tcBorders>
            <w:vAlign w:val="center"/>
            <w:hideMark/>
          </w:tcPr>
          <w:p w14:paraId="602824C6" w14:textId="77777777" w:rsidR="009B4776" w:rsidRDefault="009B4776" w:rsidP="00883742">
            <w:pPr>
              <w:rPr>
                <w:rFonts w:ascii="Calibri-Bold" w:eastAsia="Times New Roman" w:hAnsi="Calibri-Bold" w:cs="Times New Roman"/>
                <w:b/>
                <w:bCs/>
                <w:color w:val="000000"/>
                <w:sz w:val="20"/>
                <w:szCs w:val="20"/>
                <w:lang w:val="es-ES" w:eastAsia="es-ES"/>
              </w:rPr>
            </w:pPr>
          </w:p>
          <w:p w14:paraId="5D156603" w14:textId="7EF034D7" w:rsidR="00883742" w:rsidRPr="00DF4ADB" w:rsidRDefault="00883742" w:rsidP="00883742">
            <w:pPr>
              <w:rPr>
                <w:rFonts w:ascii="Calibri-Bold" w:eastAsia="Times New Roman" w:hAnsi="Calibri-Bold" w:cs="Times New Roman"/>
                <w:b/>
                <w:bCs/>
                <w:color w:val="000000"/>
                <w:sz w:val="20"/>
                <w:szCs w:val="20"/>
                <w:u w:val="single"/>
                <w:lang w:val="es-ES" w:eastAsia="es-ES"/>
              </w:rPr>
            </w:pPr>
            <w:r w:rsidRPr="00883742">
              <w:rPr>
                <w:rFonts w:ascii="Calibri-Bold" w:eastAsia="Times New Roman" w:hAnsi="Calibri-Bold" w:cs="Times New Roman"/>
                <w:b/>
                <w:bCs/>
                <w:color w:val="000000"/>
                <w:sz w:val="20"/>
                <w:szCs w:val="20"/>
                <w:u w:val="single"/>
                <w:lang w:val="es-ES" w:eastAsia="es-ES"/>
              </w:rPr>
              <w:t>Características y funciones necesarias:</w:t>
            </w:r>
          </w:p>
          <w:p w14:paraId="693C3685" w14:textId="77777777" w:rsidR="00883742" w:rsidRDefault="00883742" w:rsidP="00883742">
            <w:pPr>
              <w:rPr>
                <w:rFonts w:ascii="Calibri" w:eastAsia="Times New Roman" w:hAnsi="Calibri" w:cs="Calibri"/>
                <w:color w:val="000000"/>
                <w:sz w:val="20"/>
                <w:szCs w:val="20"/>
                <w:lang w:val="es-ES" w:eastAsia="es-ES"/>
              </w:rPr>
            </w:pPr>
            <w:r w:rsidRPr="00883742">
              <w:rPr>
                <w:rFonts w:ascii="Calibri-Bold" w:eastAsia="Times New Roman" w:hAnsi="Calibri-Bold" w:cs="Times New Roman"/>
                <w:b/>
                <w:bCs/>
                <w:color w:val="000000"/>
                <w:sz w:val="20"/>
                <w:szCs w:val="20"/>
                <w:lang w:val="es-ES" w:eastAsia="es-ES"/>
              </w:rPr>
              <w:br/>
              <w:t xml:space="preserve">• </w:t>
            </w:r>
            <w:r w:rsidRPr="00883742">
              <w:rPr>
                <w:rFonts w:ascii="Calibri" w:eastAsia="Times New Roman" w:hAnsi="Calibri" w:cs="Calibri"/>
                <w:color w:val="000000"/>
                <w:sz w:val="20"/>
                <w:szCs w:val="20"/>
                <w:lang w:val="es-ES" w:eastAsia="es-ES"/>
              </w:rPr>
              <w:t>Tamaño: Pequeño: desde 210 x 146 x 8.7 mm, hasta 250 x 160 x 8.7 mm</w:t>
            </w:r>
            <w:r w:rsidRPr="00883742">
              <w:rPr>
                <w:rFonts w:ascii="Calibri" w:eastAsia="Times New Roman" w:hAnsi="Calibri" w:cs="Calibri"/>
                <w:color w:val="000000"/>
                <w:sz w:val="20"/>
                <w:szCs w:val="20"/>
                <w:lang w:val="es-ES" w:eastAsia="es-ES"/>
              </w:rPr>
              <w:br/>
              <w:t>• Área activa: Pequeña: desde 152.0 x 95.0 mm hasta 155.0 x 98.0 mm</w:t>
            </w:r>
            <w:r w:rsidRPr="00883742">
              <w:rPr>
                <w:rFonts w:ascii="Calibri" w:eastAsia="Times New Roman" w:hAnsi="Calibri" w:cs="Calibri"/>
                <w:color w:val="000000"/>
                <w:sz w:val="20"/>
                <w:szCs w:val="20"/>
                <w:lang w:val="es-ES" w:eastAsia="es-ES"/>
              </w:rPr>
              <w:br/>
              <w:t xml:space="preserve">• </w:t>
            </w:r>
            <w:proofErr w:type="spellStart"/>
            <w:r w:rsidRPr="00883742">
              <w:rPr>
                <w:rFonts w:ascii="Calibri" w:eastAsia="Times New Roman" w:hAnsi="Calibri" w:cs="Calibri"/>
                <w:color w:val="000000"/>
                <w:sz w:val="20"/>
                <w:szCs w:val="20"/>
                <w:lang w:val="es-ES" w:eastAsia="es-ES"/>
              </w:rPr>
              <w:t>ExpressKeys</w:t>
            </w:r>
            <w:proofErr w:type="spellEnd"/>
            <w:r w:rsidRPr="00883742">
              <w:rPr>
                <w:rFonts w:ascii="Calibri" w:eastAsia="Times New Roman" w:hAnsi="Calibri" w:cs="Calibri"/>
                <w:color w:val="000000"/>
                <w:sz w:val="20"/>
                <w:szCs w:val="20"/>
                <w:lang w:val="es-ES" w:eastAsia="es-ES"/>
              </w:rPr>
              <w:t>™: No</w:t>
            </w:r>
            <w:r w:rsidRPr="00883742">
              <w:rPr>
                <w:rFonts w:ascii="Calibri" w:eastAsia="Times New Roman" w:hAnsi="Calibri" w:cs="Calibri"/>
                <w:color w:val="000000"/>
                <w:sz w:val="20"/>
                <w:szCs w:val="20"/>
                <w:lang w:val="es-ES" w:eastAsia="es-ES"/>
              </w:rPr>
              <w:br/>
              <w:t>• Niveles de presión de la pluma: de 2000 a 2048</w:t>
            </w:r>
            <w:r w:rsidRPr="00883742">
              <w:rPr>
                <w:rFonts w:ascii="Calibri" w:eastAsia="Times New Roman" w:hAnsi="Calibri" w:cs="Calibri"/>
                <w:color w:val="000000"/>
                <w:sz w:val="20"/>
                <w:szCs w:val="20"/>
                <w:lang w:val="es-ES" w:eastAsia="es-ES"/>
              </w:rPr>
              <w:br/>
              <w:t xml:space="preserve">• </w:t>
            </w:r>
            <w:proofErr w:type="spellStart"/>
            <w:r w:rsidRPr="00883742">
              <w:rPr>
                <w:rFonts w:ascii="Calibri" w:eastAsia="Times New Roman" w:hAnsi="Calibri" w:cs="Calibri"/>
                <w:color w:val="000000"/>
                <w:sz w:val="20"/>
                <w:szCs w:val="20"/>
                <w:lang w:val="es-ES" w:eastAsia="es-ES"/>
              </w:rPr>
              <w:t>Multi-touch</w:t>
            </w:r>
            <w:proofErr w:type="spellEnd"/>
            <w:r w:rsidRPr="00883742">
              <w:rPr>
                <w:rFonts w:ascii="Calibri" w:eastAsia="Times New Roman" w:hAnsi="Calibri" w:cs="Calibri"/>
                <w:color w:val="000000"/>
                <w:sz w:val="20"/>
                <w:szCs w:val="20"/>
                <w:lang w:val="es-ES" w:eastAsia="es-ES"/>
              </w:rPr>
              <w:t>: No</w:t>
            </w:r>
            <w:r w:rsidRPr="00883742">
              <w:rPr>
                <w:rFonts w:ascii="Calibri" w:eastAsia="Times New Roman" w:hAnsi="Calibri" w:cs="Calibri"/>
                <w:color w:val="000000"/>
                <w:sz w:val="20"/>
                <w:szCs w:val="20"/>
                <w:lang w:val="es-ES" w:eastAsia="es-ES"/>
              </w:rPr>
              <w:br/>
              <w:t xml:space="preserve">• Wireless </w:t>
            </w:r>
            <w:proofErr w:type="spellStart"/>
            <w:r w:rsidRPr="00883742">
              <w:rPr>
                <w:rFonts w:ascii="Calibri" w:eastAsia="Times New Roman" w:hAnsi="Calibri" w:cs="Calibri"/>
                <w:color w:val="000000"/>
                <w:sz w:val="20"/>
                <w:szCs w:val="20"/>
                <w:lang w:val="es-ES" w:eastAsia="es-ES"/>
              </w:rPr>
              <w:t>Support</w:t>
            </w:r>
            <w:proofErr w:type="spellEnd"/>
            <w:r w:rsidRPr="00883742">
              <w:rPr>
                <w:rFonts w:ascii="Calibri" w:eastAsia="Times New Roman" w:hAnsi="Calibri" w:cs="Calibri"/>
                <w:color w:val="000000"/>
                <w:sz w:val="20"/>
                <w:szCs w:val="20"/>
                <w:lang w:val="es-ES" w:eastAsia="es-ES"/>
              </w:rPr>
              <w:t>: No</w:t>
            </w:r>
            <w:r w:rsidRPr="00883742">
              <w:rPr>
                <w:rFonts w:ascii="Calibri" w:eastAsia="Times New Roman" w:hAnsi="Calibri" w:cs="Calibri"/>
                <w:color w:val="000000"/>
                <w:sz w:val="20"/>
                <w:szCs w:val="20"/>
                <w:lang w:val="es-ES" w:eastAsia="es-ES"/>
              </w:rPr>
              <w:br/>
              <w:t>• Peso Tableta pequeña: de 251g hasta 258 g</w:t>
            </w:r>
            <w:r w:rsidRPr="00883742">
              <w:rPr>
                <w:rFonts w:ascii="Calibri" w:eastAsia="Times New Roman" w:hAnsi="Calibri" w:cs="Calibri"/>
                <w:color w:val="000000"/>
                <w:sz w:val="20"/>
                <w:szCs w:val="20"/>
                <w:lang w:val="es-ES" w:eastAsia="es-ES"/>
              </w:rPr>
              <w:br/>
              <w:t>• Pluma: 9g sin pilas sin cable</w:t>
            </w:r>
            <w:r w:rsidRPr="00883742">
              <w:rPr>
                <w:rFonts w:ascii="Calibri" w:eastAsia="Times New Roman" w:hAnsi="Calibri" w:cs="Calibri"/>
                <w:color w:val="000000"/>
                <w:sz w:val="20"/>
                <w:szCs w:val="20"/>
                <w:lang w:val="es-ES" w:eastAsia="es-ES"/>
              </w:rPr>
              <w:br/>
              <w:t xml:space="preserve">• Resolución: de 2540 </w:t>
            </w:r>
            <w:proofErr w:type="spellStart"/>
            <w:r w:rsidRPr="00883742">
              <w:rPr>
                <w:rFonts w:ascii="Calibri" w:eastAsia="Times New Roman" w:hAnsi="Calibri" w:cs="Calibri"/>
                <w:color w:val="000000"/>
                <w:sz w:val="20"/>
                <w:szCs w:val="20"/>
                <w:lang w:val="es-ES" w:eastAsia="es-ES"/>
              </w:rPr>
              <w:t>lpi</w:t>
            </w:r>
            <w:proofErr w:type="spellEnd"/>
            <w:r w:rsidRPr="00883742">
              <w:rPr>
                <w:rFonts w:ascii="Calibri" w:eastAsia="Times New Roman" w:hAnsi="Calibri" w:cs="Calibri"/>
                <w:color w:val="000000"/>
                <w:sz w:val="20"/>
                <w:szCs w:val="20"/>
                <w:lang w:val="es-ES" w:eastAsia="es-ES"/>
              </w:rPr>
              <w:t xml:space="preserve"> a 2800 </w:t>
            </w:r>
            <w:proofErr w:type="spellStart"/>
            <w:r w:rsidRPr="00883742">
              <w:rPr>
                <w:rFonts w:ascii="Calibri" w:eastAsia="Times New Roman" w:hAnsi="Calibri" w:cs="Calibri"/>
                <w:color w:val="000000"/>
                <w:sz w:val="20"/>
                <w:szCs w:val="20"/>
                <w:lang w:val="es-ES" w:eastAsia="es-ES"/>
              </w:rPr>
              <w:t>lpi</w:t>
            </w:r>
            <w:proofErr w:type="spellEnd"/>
            <w:r w:rsidRPr="00883742">
              <w:rPr>
                <w:rFonts w:ascii="Calibri" w:eastAsia="Times New Roman" w:hAnsi="Calibri" w:cs="Calibri"/>
                <w:color w:val="000000"/>
                <w:sz w:val="20"/>
                <w:szCs w:val="20"/>
                <w:lang w:val="es-ES" w:eastAsia="es-ES"/>
              </w:rPr>
              <w:br/>
              <w:t xml:space="preserve">• Pen </w:t>
            </w:r>
            <w:proofErr w:type="spellStart"/>
            <w:r w:rsidRPr="00883742">
              <w:rPr>
                <w:rFonts w:ascii="Calibri" w:eastAsia="Times New Roman" w:hAnsi="Calibri" w:cs="Calibri"/>
                <w:color w:val="000000"/>
                <w:sz w:val="20"/>
                <w:szCs w:val="20"/>
                <w:lang w:val="es-ES" w:eastAsia="es-ES"/>
              </w:rPr>
              <w:t>Pressure</w:t>
            </w:r>
            <w:proofErr w:type="spellEnd"/>
            <w:r w:rsidRPr="00883742">
              <w:rPr>
                <w:rFonts w:ascii="Calibri" w:eastAsia="Times New Roman" w:hAnsi="Calibri" w:cs="Calibri"/>
                <w:color w:val="000000"/>
                <w:sz w:val="20"/>
                <w:szCs w:val="20"/>
                <w:lang w:val="es-ES" w:eastAsia="es-ES"/>
              </w:rPr>
              <w:t xml:space="preserve">-sensitive, </w:t>
            </w:r>
            <w:proofErr w:type="spellStart"/>
            <w:r w:rsidRPr="00883742">
              <w:rPr>
                <w:rFonts w:ascii="Calibri" w:eastAsia="Times New Roman" w:hAnsi="Calibri" w:cs="Calibri"/>
                <w:color w:val="000000"/>
                <w:sz w:val="20"/>
                <w:szCs w:val="20"/>
                <w:lang w:val="es-ES" w:eastAsia="es-ES"/>
              </w:rPr>
              <w:t>cordless</w:t>
            </w:r>
            <w:proofErr w:type="spellEnd"/>
            <w:r w:rsidRPr="00883742">
              <w:rPr>
                <w:rFonts w:ascii="Calibri" w:eastAsia="Times New Roman" w:hAnsi="Calibri" w:cs="Calibri"/>
                <w:color w:val="000000"/>
                <w:sz w:val="20"/>
                <w:szCs w:val="20"/>
                <w:lang w:val="es-ES" w:eastAsia="es-ES"/>
              </w:rPr>
              <w:t xml:space="preserve">, </w:t>
            </w:r>
            <w:proofErr w:type="spellStart"/>
            <w:r w:rsidRPr="00883742">
              <w:rPr>
                <w:rFonts w:ascii="Calibri" w:eastAsia="Times New Roman" w:hAnsi="Calibri" w:cs="Calibri"/>
                <w:color w:val="000000"/>
                <w:sz w:val="20"/>
                <w:szCs w:val="20"/>
                <w:lang w:val="es-ES" w:eastAsia="es-ES"/>
              </w:rPr>
              <w:t>battery</w:t>
            </w:r>
            <w:proofErr w:type="spellEnd"/>
            <w:r w:rsidRPr="00883742">
              <w:rPr>
                <w:rFonts w:ascii="Calibri" w:eastAsia="Times New Roman" w:hAnsi="Calibri" w:cs="Calibri"/>
                <w:color w:val="000000"/>
                <w:sz w:val="20"/>
                <w:szCs w:val="20"/>
                <w:lang w:val="es-ES" w:eastAsia="es-ES"/>
              </w:rPr>
              <w:t>-free pen. (LP-190K)</w:t>
            </w:r>
            <w:r w:rsidRPr="00883742">
              <w:rPr>
                <w:rFonts w:ascii="Calibri" w:eastAsia="Times New Roman" w:hAnsi="Calibri" w:cs="Calibri"/>
                <w:color w:val="000000"/>
                <w:sz w:val="20"/>
                <w:szCs w:val="20"/>
                <w:lang w:val="es-ES" w:eastAsia="es-ES"/>
              </w:rPr>
              <w:br/>
              <w:t>• Cable incluido: Sí (USB a USB)</w:t>
            </w:r>
            <w:r w:rsidRPr="00883742">
              <w:rPr>
                <w:rFonts w:ascii="Calibri" w:eastAsia="Times New Roman" w:hAnsi="Calibri" w:cs="Calibri"/>
                <w:color w:val="000000"/>
                <w:sz w:val="20"/>
                <w:szCs w:val="20"/>
                <w:lang w:val="es-ES" w:eastAsia="es-ES"/>
              </w:rPr>
              <w:br/>
              <w:t>• Requisitos del sistema PC: Windows® 7 o posterior, Mac: OS X 10.13 o posterior, Puerto estándar USB</w:t>
            </w:r>
            <w:r w:rsidRPr="00883742">
              <w:rPr>
                <w:rFonts w:ascii="Calibri" w:eastAsia="Times New Roman" w:hAnsi="Calibri" w:cs="Calibri"/>
                <w:color w:val="000000"/>
                <w:sz w:val="20"/>
                <w:szCs w:val="20"/>
                <w:lang w:val="es-ES" w:eastAsia="es-ES"/>
              </w:rPr>
              <w:br/>
              <w:t>A, Acceso a Internet para descargar el controlador (para tableta para trabajar)</w:t>
            </w:r>
            <w:r w:rsidRPr="00883742">
              <w:rPr>
                <w:rFonts w:ascii="Calibri" w:eastAsia="Times New Roman" w:hAnsi="Calibri" w:cs="Calibri"/>
                <w:color w:val="000000"/>
                <w:sz w:val="20"/>
                <w:szCs w:val="20"/>
                <w:lang w:val="es-ES" w:eastAsia="es-ES"/>
              </w:rPr>
              <w:br/>
              <w:t>• Velocidad de lectura (pluma): de 133pps hasta 137pps</w:t>
            </w:r>
            <w:r w:rsidRPr="00883742">
              <w:rPr>
                <w:rFonts w:ascii="Calibri" w:eastAsia="Times New Roman" w:hAnsi="Calibri" w:cs="Calibri"/>
                <w:color w:val="000000"/>
                <w:sz w:val="20"/>
                <w:szCs w:val="20"/>
                <w:lang w:val="es-ES" w:eastAsia="es-ES"/>
              </w:rPr>
              <w:br/>
              <w:t>• Tecnología: Método de resonancia electromagnética patentada.</w:t>
            </w:r>
            <w:r w:rsidRPr="00883742">
              <w:rPr>
                <w:rFonts w:ascii="Calibri" w:eastAsia="Times New Roman" w:hAnsi="Calibri" w:cs="Calibri"/>
                <w:color w:val="000000"/>
                <w:sz w:val="20"/>
                <w:szCs w:val="20"/>
                <w:lang w:val="es-ES" w:eastAsia="es-ES"/>
              </w:rPr>
              <w:br/>
              <w:t>• 3 a 6 puntas de pluma de repuesto estándar</w:t>
            </w:r>
            <w:r w:rsidRPr="00883742">
              <w:rPr>
                <w:rFonts w:ascii="Calibri" w:eastAsia="Times New Roman" w:hAnsi="Calibri" w:cs="Calibri"/>
                <w:color w:val="000000"/>
                <w:sz w:val="20"/>
                <w:szCs w:val="20"/>
                <w:lang w:val="es-ES" w:eastAsia="es-ES"/>
              </w:rPr>
              <w:br/>
              <w:t>• Herramienta de eliminación de plumilla</w:t>
            </w:r>
            <w:r w:rsidRPr="00883742">
              <w:rPr>
                <w:rFonts w:ascii="Calibri" w:eastAsia="Times New Roman" w:hAnsi="Calibri" w:cs="Calibri"/>
                <w:color w:val="000000"/>
                <w:sz w:val="20"/>
                <w:szCs w:val="20"/>
                <w:lang w:val="es-ES" w:eastAsia="es-ES"/>
              </w:rPr>
              <w:br/>
              <w:t>• Guía de inicio rápido</w:t>
            </w:r>
            <w:r w:rsidRPr="00883742">
              <w:rPr>
                <w:rFonts w:ascii="Calibri" w:eastAsia="Times New Roman" w:hAnsi="Calibri" w:cs="Calibri"/>
                <w:color w:val="000000"/>
                <w:sz w:val="20"/>
                <w:szCs w:val="20"/>
                <w:lang w:val="es-ES" w:eastAsia="es-ES"/>
              </w:rPr>
              <w:br/>
              <w:t>• Garantía: 12 meses.</w:t>
            </w:r>
          </w:p>
          <w:p w14:paraId="223B949D" w14:textId="77777777" w:rsidR="00883742" w:rsidRDefault="00883742" w:rsidP="00883742">
            <w:pPr>
              <w:rPr>
                <w:rFonts w:ascii="Calibri" w:eastAsia="Times New Roman" w:hAnsi="Calibri" w:cs="Calibri"/>
                <w:color w:val="000000"/>
                <w:sz w:val="20"/>
                <w:szCs w:val="20"/>
                <w:lang w:val="es-ES" w:eastAsia="es-ES"/>
              </w:rPr>
            </w:pPr>
          </w:p>
          <w:p w14:paraId="3664A970" w14:textId="62C10900" w:rsidR="00883742" w:rsidRDefault="00883742" w:rsidP="00883742">
            <w:pPr>
              <w:rPr>
                <w:rFonts w:ascii="Calibri" w:eastAsia="Times New Roman" w:hAnsi="Calibri" w:cs="Calibri"/>
                <w:color w:val="000000"/>
                <w:sz w:val="20"/>
                <w:szCs w:val="20"/>
                <w:lang w:val="es-ES" w:eastAsia="es-ES"/>
              </w:rPr>
            </w:pPr>
            <w:r w:rsidRPr="00883742">
              <w:rPr>
                <w:rFonts w:ascii="Calibri" w:eastAsia="Times New Roman" w:hAnsi="Calibri" w:cs="Calibri"/>
                <w:color w:val="000000"/>
                <w:sz w:val="20"/>
                <w:szCs w:val="20"/>
                <w:lang w:val="es-ES" w:eastAsia="es-ES"/>
              </w:rPr>
              <w:br/>
            </w:r>
            <w:r w:rsidRPr="00883742">
              <w:rPr>
                <w:rFonts w:ascii="Calibri-Bold" w:eastAsia="Times New Roman" w:hAnsi="Calibri-Bold" w:cs="Times New Roman"/>
                <w:b/>
                <w:bCs/>
                <w:color w:val="000000"/>
                <w:sz w:val="20"/>
                <w:szCs w:val="20"/>
                <w:lang w:val="es-ES" w:eastAsia="es-ES"/>
              </w:rPr>
              <w:t>Cantidad</w:t>
            </w:r>
            <w:r w:rsidRPr="00883742">
              <w:rPr>
                <w:rFonts w:ascii="Calibri" w:eastAsia="Times New Roman" w:hAnsi="Calibri" w:cs="Calibri"/>
                <w:color w:val="000000"/>
                <w:sz w:val="20"/>
                <w:szCs w:val="20"/>
                <w:lang w:val="es-ES" w:eastAsia="es-ES"/>
              </w:rPr>
              <w:t>: cincuenta (50) unidades.</w:t>
            </w:r>
          </w:p>
          <w:p w14:paraId="22832728" w14:textId="77777777" w:rsidR="00883742" w:rsidRDefault="00883742" w:rsidP="00883742">
            <w:pPr>
              <w:rPr>
                <w:rFonts w:ascii="Calibri" w:eastAsia="Times New Roman" w:hAnsi="Calibri" w:cs="Calibri"/>
                <w:color w:val="000000"/>
                <w:sz w:val="20"/>
                <w:szCs w:val="20"/>
                <w:lang w:val="es-ES" w:eastAsia="es-ES"/>
              </w:rPr>
            </w:pPr>
          </w:p>
          <w:p w14:paraId="78AA4D1B" w14:textId="1C82016D" w:rsidR="00883742" w:rsidRDefault="00883742" w:rsidP="00883742">
            <w:pPr>
              <w:rPr>
                <w:rFonts w:ascii="Calibri" w:eastAsia="Times New Roman" w:hAnsi="Calibri" w:cs="Calibri"/>
                <w:color w:val="000000"/>
                <w:sz w:val="20"/>
                <w:szCs w:val="20"/>
                <w:lang w:val="es-ES" w:eastAsia="es-ES"/>
              </w:rPr>
            </w:pPr>
            <w:r w:rsidRPr="00883742">
              <w:rPr>
                <w:rFonts w:ascii="Calibri" w:eastAsia="Times New Roman" w:hAnsi="Calibri" w:cs="Calibri"/>
                <w:color w:val="000000"/>
                <w:sz w:val="20"/>
                <w:szCs w:val="20"/>
                <w:lang w:val="es-ES" w:eastAsia="es-ES"/>
              </w:rPr>
              <w:br/>
            </w:r>
            <w:r w:rsidRPr="00883742">
              <w:rPr>
                <w:rFonts w:ascii="Calibri-Bold" w:eastAsia="Times New Roman" w:hAnsi="Calibri-Bold" w:cs="Times New Roman"/>
                <w:b/>
                <w:bCs/>
                <w:color w:val="000000"/>
                <w:sz w:val="20"/>
                <w:szCs w:val="20"/>
                <w:lang w:val="es-ES" w:eastAsia="es-ES"/>
              </w:rPr>
              <w:t>Plazo de entrega</w:t>
            </w:r>
            <w:r w:rsidRPr="00883742">
              <w:rPr>
                <w:rFonts w:ascii="Calibri" w:eastAsia="Times New Roman" w:hAnsi="Calibri" w:cs="Calibri"/>
                <w:color w:val="000000"/>
                <w:sz w:val="20"/>
                <w:szCs w:val="20"/>
                <w:lang w:val="es-ES" w:eastAsia="es-ES"/>
              </w:rPr>
              <w:t>: Dentro de los diez (10) días de notificada la orden de compra.</w:t>
            </w:r>
          </w:p>
          <w:p w14:paraId="427D688C" w14:textId="77777777" w:rsidR="00883742" w:rsidRDefault="00883742" w:rsidP="00883742">
            <w:pPr>
              <w:rPr>
                <w:rFonts w:ascii="Calibri" w:eastAsia="Times New Roman" w:hAnsi="Calibri" w:cs="Calibri"/>
                <w:color w:val="000000"/>
                <w:sz w:val="20"/>
                <w:szCs w:val="20"/>
                <w:lang w:val="es-ES" w:eastAsia="es-ES"/>
              </w:rPr>
            </w:pPr>
          </w:p>
          <w:p w14:paraId="649E89F0" w14:textId="6020944E" w:rsidR="00883742" w:rsidRDefault="00883742" w:rsidP="00883742">
            <w:pPr>
              <w:rPr>
                <w:rFonts w:ascii="Calibri" w:eastAsia="Times New Roman" w:hAnsi="Calibri" w:cs="Calibri"/>
                <w:color w:val="000000"/>
                <w:sz w:val="20"/>
                <w:szCs w:val="20"/>
                <w:lang w:val="es-ES" w:eastAsia="es-ES"/>
              </w:rPr>
            </w:pPr>
            <w:r w:rsidRPr="00883742">
              <w:rPr>
                <w:rFonts w:ascii="Calibri" w:eastAsia="Times New Roman" w:hAnsi="Calibri" w:cs="Calibri"/>
                <w:color w:val="000000"/>
                <w:sz w:val="20"/>
                <w:szCs w:val="20"/>
                <w:lang w:val="es-ES" w:eastAsia="es-ES"/>
              </w:rPr>
              <w:br/>
            </w:r>
            <w:r w:rsidRPr="00883742">
              <w:rPr>
                <w:rFonts w:ascii="Calibri-Bold" w:eastAsia="Times New Roman" w:hAnsi="Calibri-Bold" w:cs="Times New Roman"/>
                <w:b/>
                <w:bCs/>
                <w:color w:val="000000"/>
                <w:sz w:val="20"/>
                <w:szCs w:val="20"/>
                <w:lang w:val="es-ES" w:eastAsia="es-ES"/>
              </w:rPr>
              <w:t xml:space="preserve">Lugar de entrega: </w:t>
            </w:r>
            <w:r w:rsidRPr="00883742">
              <w:rPr>
                <w:rFonts w:ascii="Calibri" w:eastAsia="Times New Roman" w:hAnsi="Calibri" w:cs="Calibri"/>
                <w:color w:val="000000"/>
                <w:sz w:val="20"/>
                <w:szCs w:val="20"/>
                <w:lang w:val="es-ES" w:eastAsia="es-ES"/>
              </w:rPr>
              <w:t>Av. Comodoro Martín Rivadavia 1151, Ciudad de Buenos Aires.</w:t>
            </w:r>
          </w:p>
          <w:p w14:paraId="5CE65F2F" w14:textId="77777777" w:rsidR="00883742" w:rsidRDefault="00883742" w:rsidP="00883742">
            <w:pPr>
              <w:rPr>
                <w:rFonts w:ascii="Calibri" w:eastAsia="Times New Roman" w:hAnsi="Calibri" w:cs="Calibri"/>
                <w:color w:val="000000"/>
                <w:sz w:val="20"/>
                <w:szCs w:val="20"/>
                <w:lang w:val="es-ES" w:eastAsia="es-ES"/>
              </w:rPr>
            </w:pPr>
          </w:p>
          <w:p w14:paraId="0442B5A3" w14:textId="77777777" w:rsidR="00883742" w:rsidRDefault="00883742" w:rsidP="00883742">
            <w:pPr>
              <w:rPr>
                <w:rFonts w:ascii="Calibri" w:eastAsia="Times New Roman" w:hAnsi="Calibri" w:cs="Calibri"/>
                <w:color w:val="000000"/>
                <w:sz w:val="20"/>
                <w:szCs w:val="20"/>
                <w:lang w:val="es-ES" w:eastAsia="es-ES"/>
              </w:rPr>
            </w:pPr>
          </w:p>
          <w:p w14:paraId="38205C38" w14:textId="385D0BE8" w:rsidR="00883742" w:rsidRPr="00883742" w:rsidRDefault="00883742" w:rsidP="00883742">
            <w:pPr>
              <w:rPr>
                <w:rFonts w:ascii="Times New Roman" w:eastAsia="Times New Roman" w:hAnsi="Times New Roman" w:cs="Times New Roman"/>
                <w:lang w:val="es-ES" w:eastAsia="es-ES"/>
              </w:rPr>
            </w:pPr>
          </w:p>
        </w:tc>
      </w:tr>
    </w:tbl>
    <w:p w14:paraId="34C6F7A9" w14:textId="77777777" w:rsidR="00310034" w:rsidRDefault="00310034" w:rsidP="00310034">
      <w:pPr>
        <w:spacing w:line="360" w:lineRule="auto"/>
        <w:rPr>
          <w:rFonts w:cs="Calibri"/>
          <w:b/>
          <w:bCs/>
          <w:sz w:val="18"/>
          <w:szCs w:val="18"/>
          <w:u w:val="single"/>
        </w:rPr>
      </w:pPr>
      <w:bookmarkStart w:id="1" w:name="_l34o3ixohusu" w:colFirst="0" w:colLast="0"/>
      <w:bookmarkStart w:id="2" w:name="_e1xq5xp3683t" w:colFirst="0" w:colLast="0"/>
      <w:bookmarkStart w:id="3" w:name="_hyeou4qstqmf" w:colFirst="0" w:colLast="0"/>
      <w:bookmarkStart w:id="4" w:name="_5vd2rvivte2l" w:colFirst="0" w:colLast="0"/>
      <w:bookmarkStart w:id="5" w:name="_swqcjxldur7" w:colFirst="0" w:colLast="0"/>
      <w:bookmarkStart w:id="6" w:name="_ntu1rmn1glvp" w:colFirst="0" w:colLast="0"/>
      <w:bookmarkEnd w:id="1"/>
      <w:bookmarkEnd w:id="2"/>
      <w:bookmarkEnd w:id="3"/>
      <w:bookmarkEnd w:id="4"/>
      <w:bookmarkEnd w:id="5"/>
      <w:bookmarkEnd w:id="6"/>
    </w:p>
    <w:p w14:paraId="3F32631C" w14:textId="77777777" w:rsidR="00310034" w:rsidRDefault="00310034" w:rsidP="00310034">
      <w:pPr>
        <w:spacing w:line="360" w:lineRule="auto"/>
        <w:rPr>
          <w:rFonts w:cs="Calibri"/>
          <w:b/>
          <w:bCs/>
          <w:sz w:val="18"/>
          <w:szCs w:val="18"/>
          <w:u w:val="single"/>
        </w:rPr>
      </w:pPr>
    </w:p>
    <w:tbl>
      <w:tblPr>
        <w:tblW w:w="10415" w:type="dxa"/>
        <w:tblInd w:w="-214" w:type="dxa"/>
        <w:tblCellMar>
          <w:left w:w="70" w:type="dxa"/>
          <w:right w:w="70" w:type="dxa"/>
        </w:tblCellMar>
        <w:tblLook w:val="04A0" w:firstRow="1" w:lastRow="0" w:firstColumn="1" w:lastColumn="0" w:noHBand="0" w:noVBand="1"/>
      </w:tblPr>
      <w:tblGrid>
        <w:gridCol w:w="1438"/>
        <w:gridCol w:w="2382"/>
        <w:gridCol w:w="14"/>
        <w:gridCol w:w="2354"/>
        <w:gridCol w:w="797"/>
        <w:gridCol w:w="532"/>
        <w:gridCol w:w="1445"/>
        <w:gridCol w:w="1388"/>
        <w:gridCol w:w="146"/>
      </w:tblGrid>
      <w:tr w:rsidR="00310034" w:rsidRPr="00770247" w14:paraId="24B37286" w14:textId="77777777" w:rsidTr="000B4F29">
        <w:trPr>
          <w:gridAfter w:val="1"/>
          <w:wAfter w:w="146" w:type="dxa"/>
          <w:trHeight w:val="336"/>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10F5D4" w14:textId="4FF9C4CB"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ANEXO II - PLANILLA DE COTIZACIÓN</w:t>
            </w:r>
            <w:r w:rsidR="00617800">
              <w:rPr>
                <w:rFonts w:ascii="Calibri" w:hAnsi="Calibri"/>
                <w:b/>
                <w:bCs/>
                <w:color w:val="000000"/>
                <w:sz w:val="18"/>
                <w:szCs w:val="18"/>
                <w:lang w:eastAsia="es-AR"/>
              </w:rPr>
              <w:t xml:space="preserve"> – </w:t>
            </w:r>
            <w:r w:rsidR="00883742">
              <w:rPr>
                <w:rFonts w:ascii="Calibri" w:hAnsi="Calibri"/>
                <w:b/>
                <w:bCs/>
                <w:color w:val="000000"/>
                <w:sz w:val="18"/>
                <w:szCs w:val="18"/>
                <w:lang w:eastAsia="es-AR"/>
              </w:rPr>
              <w:t>SEGUNDO</w:t>
            </w:r>
            <w:r w:rsidR="00617800">
              <w:rPr>
                <w:rFonts w:ascii="Calibri" w:hAnsi="Calibri"/>
                <w:b/>
                <w:bCs/>
                <w:color w:val="000000"/>
                <w:sz w:val="18"/>
                <w:szCs w:val="18"/>
                <w:lang w:eastAsia="es-AR"/>
              </w:rPr>
              <w:t xml:space="preserve"> LLAMADO </w:t>
            </w:r>
          </w:p>
        </w:tc>
      </w:tr>
      <w:tr w:rsidR="000B4F29" w:rsidRPr="00770247" w14:paraId="677534E4" w14:textId="77777777" w:rsidTr="000B4F29">
        <w:trPr>
          <w:gridAfter w:val="1"/>
          <w:wAfter w:w="146" w:type="dxa"/>
          <w:trHeight w:val="614"/>
        </w:trPr>
        <w:tc>
          <w:tcPr>
            <w:tcW w:w="1407" w:type="dxa"/>
            <w:tcBorders>
              <w:top w:val="nil"/>
              <w:left w:val="single" w:sz="4" w:space="0" w:color="auto"/>
              <w:bottom w:val="single" w:sz="4" w:space="0" w:color="auto"/>
              <w:right w:val="single" w:sz="4" w:space="0" w:color="auto"/>
            </w:tcBorders>
            <w:shd w:val="clear" w:color="auto" w:fill="auto"/>
            <w:vAlign w:val="center"/>
            <w:hideMark/>
          </w:tcPr>
          <w:p w14:paraId="133D547A"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Renglón</w:t>
            </w:r>
            <w:r>
              <w:rPr>
                <w:rFonts w:ascii="Calibri" w:hAnsi="Calibri"/>
                <w:b/>
                <w:bCs/>
                <w:color w:val="000000"/>
                <w:sz w:val="18"/>
                <w:szCs w:val="18"/>
                <w:lang w:eastAsia="es-AR"/>
              </w:rPr>
              <w:t xml:space="preserve"> </w:t>
            </w:r>
          </w:p>
        </w:tc>
        <w:tc>
          <w:tcPr>
            <w:tcW w:w="4700" w:type="dxa"/>
            <w:gridSpan w:val="3"/>
            <w:tcBorders>
              <w:top w:val="nil"/>
              <w:left w:val="nil"/>
              <w:bottom w:val="single" w:sz="4" w:space="0" w:color="auto"/>
              <w:right w:val="single" w:sz="4" w:space="0" w:color="auto"/>
            </w:tcBorders>
            <w:shd w:val="clear" w:color="auto" w:fill="auto"/>
            <w:vAlign w:val="center"/>
            <w:hideMark/>
          </w:tcPr>
          <w:p w14:paraId="32DE7EF9"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Descripción</w:t>
            </w:r>
          </w:p>
        </w:tc>
        <w:tc>
          <w:tcPr>
            <w:tcW w:w="797" w:type="dxa"/>
            <w:tcBorders>
              <w:top w:val="nil"/>
              <w:left w:val="nil"/>
              <w:bottom w:val="single" w:sz="4" w:space="0" w:color="auto"/>
              <w:right w:val="single" w:sz="4" w:space="0" w:color="auto"/>
            </w:tcBorders>
            <w:shd w:val="clear" w:color="auto" w:fill="auto"/>
            <w:vAlign w:val="center"/>
            <w:hideMark/>
          </w:tcPr>
          <w:p w14:paraId="1CB9E835"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Un. Medida</w:t>
            </w:r>
          </w:p>
        </w:tc>
        <w:tc>
          <w:tcPr>
            <w:tcW w:w="532" w:type="dxa"/>
            <w:tcBorders>
              <w:top w:val="nil"/>
              <w:left w:val="nil"/>
              <w:bottom w:val="single" w:sz="4" w:space="0" w:color="auto"/>
              <w:right w:val="single" w:sz="4" w:space="0" w:color="auto"/>
            </w:tcBorders>
            <w:shd w:val="clear" w:color="auto" w:fill="auto"/>
            <w:vAlign w:val="center"/>
            <w:hideMark/>
          </w:tcPr>
          <w:p w14:paraId="230DF340" w14:textId="77777777" w:rsidR="00310034" w:rsidRPr="00770247" w:rsidRDefault="00310034" w:rsidP="009F4637">
            <w:pPr>
              <w:jc w:val="center"/>
              <w:rPr>
                <w:rFonts w:ascii="Calibri" w:hAnsi="Calibri"/>
                <w:b/>
                <w:bCs/>
                <w:color w:val="000000"/>
                <w:sz w:val="18"/>
                <w:szCs w:val="18"/>
                <w:lang w:eastAsia="es-AR"/>
              </w:rPr>
            </w:pPr>
            <w:proofErr w:type="spellStart"/>
            <w:r w:rsidRPr="00770247">
              <w:rPr>
                <w:rFonts w:ascii="Calibri" w:hAnsi="Calibri"/>
                <w:b/>
                <w:bCs/>
                <w:color w:val="000000"/>
                <w:sz w:val="18"/>
                <w:szCs w:val="18"/>
                <w:lang w:eastAsia="es-AR"/>
              </w:rPr>
              <w:t>Cant</w:t>
            </w:r>
            <w:proofErr w:type="spellEnd"/>
            <w:r>
              <w:rPr>
                <w:rFonts w:ascii="Calibri" w:hAnsi="Calibri"/>
                <w:b/>
                <w:bCs/>
                <w:color w:val="000000"/>
                <w:sz w:val="18"/>
                <w:szCs w:val="18"/>
                <w:lang w:eastAsia="es-AR"/>
              </w:rPr>
              <w:t>.</w:t>
            </w:r>
          </w:p>
        </w:tc>
        <w:tc>
          <w:tcPr>
            <w:tcW w:w="1445" w:type="dxa"/>
            <w:tcBorders>
              <w:top w:val="nil"/>
              <w:left w:val="nil"/>
              <w:bottom w:val="single" w:sz="4" w:space="0" w:color="auto"/>
              <w:right w:val="single" w:sz="4" w:space="0" w:color="auto"/>
            </w:tcBorders>
            <w:shd w:val="clear" w:color="auto" w:fill="auto"/>
            <w:vAlign w:val="center"/>
            <w:hideMark/>
          </w:tcPr>
          <w:p w14:paraId="6939A85A"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 xml:space="preserve">Costo unitario </w:t>
            </w:r>
            <w:r>
              <w:rPr>
                <w:rFonts w:ascii="Calibri" w:hAnsi="Calibri"/>
                <w:b/>
                <w:bCs/>
                <w:color w:val="000000"/>
                <w:sz w:val="18"/>
                <w:szCs w:val="18"/>
                <w:lang w:eastAsia="es-AR"/>
              </w:rPr>
              <w:t>con IVA INCLUIDO</w:t>
            </w:r>
          </w:p>
        </w:tc>
        <w:tc>
          <w:tcPr>
            <w:tcW w:w="1388" w:type="dxa"/>
            <w:tcBorders>
              <w:top w:val="nil"/>
              <w:left w:val="nil"/>
              <w:bottom w:val="single" w:sz="4" w:space="0" w:color="auto"/>
              <w:right w:val="single" w:sz="4" w:space="0" w:color="auto"/>
            </w:tcBorders>
            <w:shd w:val="clear" w:color="auto" w:fill="auto"/>
            <w:vAlign w:val="center"/>
            <w:hideMark/>
          </w:tcPr>
          <w:p w14:paraId="63FC772F"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Costo Total</w:t>
            </w:r>
            <w:r>
              <w:rPr>
                <w:rFonts w:ascii="Calibri" w:hAnsi="Calibri"/>
                <w:b/>
                <w:bCs/>
                <w:color w:val="000000"/>
                <w:sz w:val="18"/>
                <w:szCs w:val="18"/>
                <w:lang w:eastAsia="es-AR"/>
              </w:rPr>
              <w:t xml:space="preserve"> IVA INCLUIDO</w:t>
            </w:r>
          </w:p>
        </w:tc>
      </w:tr>
      <w:tr w:rsidR="000B4F29" w:rsidRPr="00770247" w14:paraId="038A2426" w14:textId="77777777" w:rsidTr="000B4F29">
        <w:trPr>
          <w:gridAfter w:val="1"/>
          <w:wAfter w:w="146" w:type="dxa"/>
          <w:trHeight w:val="336"/>
        </w:trPr>
        <w:tc>
          <w:tcPr>
            <w:tcW w:w="1407" w:type="dxa"/>
            <w:tcBorders>
              <w:top w:val="single" w:sz="4" w:space="0" w:color="auto"/>
              <w:left w:val="single" w:sz="4" w:space="0" w:color="auto"/>
              <w:bottom w:val="single" w:sz="4" w:space="0" w:color="auto"/>
              <w:right w:val="single" w:sz="4" w:space="0" w:color="auto"/>
            </w:tcBorders>
            <w:vAlign w:val="center"/>
          </w:tcPr>
          <w:p w14:paraId="167B0179" w14:textId="77777777" w:rsidR="00310034" w:rsidRPr="0089344A" w:rsidRDefault="00310034" w:rsidP="009F4637">
            <w:pPr>
              <w:widowControl w:val="0"/>
              <w:spacing w:line="276" w:lineRule="auto"/>
              <w:jc w:val="center"/>
              <w:rPr>
                <w:rFonts w:cstheme="minorHAnsi"/>
                <w:sz w:val="18"/>
                <w:szCs w:val="18"/>
              </w:rPr>
            </w:pPr>
            <w:r w:rsidRPr="0089344A">
              <w:rPr>
                <w:rFonts w:cstheme="minorHAnsi"/>
                <w:sz w:val="18"/>
                <w:szCs w:val="18"/>
              </w:rPr>
              <w:t>1</w:t>
            </w:r>
          </w:p>
        </w:tc>
        <w:tc>
          <w:tcPr>
            <w:tcW w:w="4700" w:type="dxa"/>
            <w:gridSpan w:val="3"/>
            <w:tcBorders>
              <w:top w:val="single" w:sz="4" w:space="0" w:color="auto"/>
              <w:left w:val="single" w:sz="4" w:space="0" w:color="auto"/>
              <w:bottom w:val="single" w:sz="4" w:space="0" w:color="auto"/>
              <w:right w:val="single" w:sz="4" w:space="0" w:color="auto"/>
            </w:tcBorders>
            <w:vAlign w:val="center"/>
          </w:tcPr>
          <w:p w14:paraId="07F42EFD" w14:textId="4F69FD25" w:rsidR="00310034" w:rsidRPr="00880898" w:rsidRDefault="00883742" w:rsidP="009F4637">
            <w:pPr>
              <w:shd w:val="clear" w:color="auto" w:fill="FFFFFF"/>
              <w:spacing w:line="276" w:lineRule="auto"/>
              <w:rPr>
                <w:rFonts w:cstheme="minorHAnsi"/>
                <w:sz w:val="18"/>
                <w:szCs w:val="18"/>
                <w:lang w:eastAsia="es-AR"/>
              </w:rPr>
            </w:pPr>
            <w:r>
              <w:rPr>
                <w:rFonts w:cstheme="minorHAnsi"/>
                <w:sz w:val="18"/>
                <w:szCs w:val="18"/>
                <w:lang w:eastAsia="es-AR"/>
              </w:rPr>
              <w:t>TABLETAS GRAFICAS</w:t>
            </w:r>
            <w:r w:rsidR="002C33EA">
              <w:rPr>
                <w:rFonts w:cstheme="minorHAnsi"/>
                <w:sz w:val="18"/>
                <w:szCs w:val="18"/>
                <w:lang w:eastAsia="es-AR"/>
              </w:rPr>
              <w:t xml:space="preserve"> </w:t>
            </w:r>
            <w:r w:rsidR="00310034">
              <w:rPr>
                <w:rFonts w:cstheme="minorHAnsi"/>
                <w:sz w:val="18"/>
                <w:szCs w:val="18"/>
                <w:lang w:eastAsia="es-AR"/>
              </w:rPr>
              <w:t>(Según especificaciones técnicas del Anexo I)</w:t>
            </w:r>
            <w:r w:rsidR="0065263A">
              <w:rPr>
                <w:rFonts w:cstheme="minorHAnsi"/>
                <w:sz w:val="18"/>
                <w:szCs w:val="18"/>
                <w:lang w:eastAsia="es-AR"/>
              </w:rPr>
              <w:t xml:space="preserve"> – Sede Comodoro Rivadavia.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DBB63F2" w14:textId="0BA165B0" w:rsidR="00310034" w:rsidRPr="0089344A" w:rsidRDefault="008D14C0" w:rsidP="009F4637">
            <w:pPr>
              <w:jc w:val="center"/>
              <w:rPr>
                <w:rFonts w:cstheme="minorHAnsi"/>
                <w:bCs/>
                <w:sz w:val="18"/>
                <w:szCs w:val="18"/>
              </w:rPr>
            </w:pPr>
            <w:r>
              <w:rPr>
                <w:rFonts w:cstheme="minorHAnsi"/>
                <w:bCs/>
                <w:sz w:val="18"/>
                <w:szCs w:val="18"/>
              </w:rPr>
              <w:t>unidad</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58F6120E" w14:textId="044B52FA" w:rsidR="00310034" w:rsidRPr="0089344A" w:rsidRDefault="00883742" w:rsidP="009F4637">
            <w:pPr>
              <w:jc w:val="center"/>
              <w:rPr>
                <w:rFonts w:cstheme="minorHAnsi"/>
                <w:bCs/>
                <w:sz w:val="18"/>
                <w:szCs w:val="18"/>
              </w:rPr>
            </w:pPr>
            <w:r>
              <w:rPr>
                <w:rFonts w:cstheme="minorHAnsi"/>
                <w:bCs/>
                <w:sz w:val="18"/>
                <w:szCs w:val="18"/>
              </w:rPr>
              <w:t>50</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31F8670" w14:textId="77777777" w:rsidR="00310034" w:rsidRPr="0089344A" w:rsidRDefault="00310034" w:rsidP="009F4637">
            <w:pPr>
              <w:jc w:val="center"/>
              <w:rPr>
                <w:rFonts w:cstheme="minorHAnsi"/>
                <w:color w:val="000000"/>
                <w:sz w:val="18"/>
                <w:szCs w:val="18"/>
                <w:lang w:eastAsia="es-AR"/>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757159" w14:textId="77777777" w:rsidR="00310034" w:rsidRPr="0089344A" w:rsidRDefault="00310034" w:rsidP="009F4637">
            <w:pPr>
              <w:jc w:val="center"/>
              <w:rPr>
                <w:rFonts w:cstheme="minorHAnsi"/>
                <w:color w:val="000000"/>
                <w:sz w:val="18"/>
                <w:szCs w:val="18"/>
                <w:lang w:eastAsia="es-AR"/>
              </w:rPr>
            </w:pPr>
          </w:p>
        </w:tc>
      </w:tr>
      <w:tr w:rsidR="000B4F29" w:rsidRPr="00770247" w14:paraId="18D00DF5" w14:textId="77777777" w:rsidTr="000B4F29">
        <w:trPr>
          <w:trHeight w:val="173"/>
        </w:trPr>
        <w:tc>
          <w:tcPr>
            <w:tcW w:w="1026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997DD9" w14:textId="77777777" w:rsidR="000B4F29" w:rsidRDefault="000B4F29" w:rsidP="009F4637">
            <w:pPr>
              <w:rPr>
                <w:sz w:val="18"/>
                <w:szCs w:val="18"/>
              </w:rPr>
            </w:pPr>
            <w:r w:rsidRPr="00F67D7D">
              <w:rPr>
                <w:rFonts w:ascii="Calibri" w:hAnsi="Calibri"/>
                <w:b/>
                <w:bCs/>
                <w:color w:val="000000"/>
                <w:sz w:val="18"/>
                <w:szCs w:val="18"/>
                <w:lang w:eastAsia="es-AR"/>
              </w:rPr>
              <w:t>La Suma Total de pesos (en letras y números):</w:t>
            </w:r>
            <w:r w:rsidRPr="00F67D7D">
              <w:rPr>
                <w:sz w:val="18"/>
                <w:szCs w:val="18"/>
              </w:rPr>
              <w:t xml:space="preserve"> </w:t>
            </w:r>
          </w:p>
          <w:p w14:paraId="4C7DE8F0" w14:textId="77777777" w:rsidR="000B4F29" w:rsidRPr="00F67D7D" w:rsidRDefault="000B4F29" w:rsidP="009F4637">
            <w:pPr>
              <w:rPr>
                <w:sz w:val="18"/>
                <w:szCs w:val="18"/>
              </w:rPr>
            </w:pPr>
          </w:p>
          <w:p w14:paraId="155E29BD" w14:textId="77777777" w:rsidR="000B4F29" w:rsidRPr="00F67D7D" w:rsidRDefault="000B4F29" w:rsidP="009F4637">
            <w:pPr>
              <w:rPr>
                <w:rFonts w:ascii="Calibri" w:hAnsi="Calibri"/>
                <w:b/>
                <w:bCs/>
                <w:color w:val="000000"/>
                <w:sz w:val="18"/>
                <w:szCs w:val="18"/>
                <w:lang w:eastAsia="es-AR"/>
              </w:rPr>
            </w:pPr>
          </w:p>
        </w:tc>
        <w:tc>
          <w:tcPr>
            <w:tcW w:w="146" w:type="dxa"/>
          </w:tcPr>
          <w:p w14:paraId="5873F660" w14:textId="77777777" w:rsidR="000B4F29" w:rsidRPr="00770247" w:rsidRDefault="000B4F29" w:rsidP="009F4637"/>
        </w:tc>
      </w:tr>
      <w:tr w:rsidR="00310034" w:rsidRPr="00770247" w14:paraId="1AB36C7F" w14:textId="77777777" w:rsidTr="000B4F29">
        <w:trPr>
          <w:gridAfter w:val="1"/>
          <w:wAfter w:w="146" w:type="dxa"/>
          <w:trHeight w:val="336"/>
        </w:trPr>
        <w:tc>
          <w:tcPr>
            <w:tcW w:w="1026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0B429C7" w14:textId="77777777" w:rsidR="00310034" w:rsidRPr="00F67D7D" w:rsidRDefault="00310034" w:rsidP="009F4637">
            <w:pPr>
              <w:jc w:val="center"/>
              <w:rPr>
                <w:b/>
                <w:bCs/>
                <w:color w:val="000000"/>
                <w:sz w:val="18"/>
                <w:szCs w:val="18"/>
                <w:lang w:eastAsia="es-AR"/>
              </w:rPr>
            </w:pPr>
            <w:r w:rsidRPr="00F67D7D">
              <w:rPr>
                <w:b/>
                <w:sz w:val="18"/>
                <w:szCs w:val="18"/>
              </w:rPr>
              <w:t>LOS OFERENTES DEBERÁN INDICAR LA ALÍCUOTA DE I.V.A. APLICABLE A BIEN O SERVICIO COTIZADO</w:t>
            </w:r>
          </w:p>
        </w:tc>
      </w:tr>
      <w:tr w:rsidR="00310034" w:rsidRPr="00770247" w14:paraId="2CD5618A" w14:textId="77777777" w:rsidTr="000B4F29">
        <w:trPr>
          <w:gridAfter w:val="1"/>
          <w:wAfter w:w="146" w:type="dxa"/>
          <w:trHeight w:val="336"/>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F64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del oferente</w:t>
            </w:r>
          </w:p>
        </w:tc>
      </w:tr>
      <w:tr w:rsidR="000B4F29" w:rsidRPr="00770247" w14:paraId="6159C84D"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AA4D"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Razón social</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0791042C"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35F120D5"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144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C.U.I.T.</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0324CDA0"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5877A55E"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5D9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Contacto</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5D63CB35"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16AFB7E1"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DD52"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E-mail</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58AA41EB"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37C18629"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FA1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Teléfono</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74DF5B61"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66BA7639"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4985B"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Domicilio</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60959D25"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7A8023D0" w14:textId="77777777" w:rsidTr="000B4F29">
        <w:trPr>
          <w:gridAfter w:val="1"/>
          <w:wAfter w:w="146" w:type="dxa"/>
          <w:trHeight w:val="336"/>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441F"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bancarios</w:t>
            </w:r>
          </w:p>
        </w:tc>
      </w:tr>
      <w:tr w:rsidR="000B4F29" w:rsidRPr="00770247" w14:paraId="183E617D"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D880"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Banco </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6C807CBD"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65A488CB"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B195"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Cuenta </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165F6B50" w14:textId="77777777" w:rsidR="00310034" w:rsidRPr="00F67D7D" w:rsidRDefault="00310034" w:rsidP="009F4637">
            <w:pPr>
              <w:jc w:val="center"/>
              <w:rPr>
                <w:rFonts w:ascii="Calibri" w:hAnsi="Calibri"/>
                <w:b/>
                <w:bCs/>
                <w:color w:val="000000"/>
                <w:sz w:val="18"/>
                <w:szCs w:val="18"/>
                <w:lang w:eastAsia="es-AR"/>
              </w:rPr>
            </w:pPr>
          </w:p>
        </w:tc>
      </w:tr>
      <w:tr w:rsidR="000B4F29" w:rsidRPr="00770247" w14:paraId="0071A720" w14:textId="77777777" w:rsidTr="000B4F29">
        <w:trPr>
          <w:gridAfter w:val="1"/>
          <w:wAfter w:w="146" w:type="dxa"/>
          <w:trHeight w:val="336"/>
        </w:trPr>
        <w:tc>
          <w:tcPr>
            <w:tcW w:w="37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0BE7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C.B.U.</w:t>
            </w:r>
          </w:p>
        </w:tc>
        <w:tc>
          <w:tcPr>
            <w:tcW w:w="6530" w:type="dxa"/>
            <w:gridSpan w:val="6"/>
            <w:tcBorders>
              <w:top w:val="single" w:sz="4" w:space="0" w:color="auto"/>
              <w:left w:val="nil"/>
              <w:bottom w:val="single" w:sz="4" w:space="0" w:color="auto"/>
              <w:right w:val="single" w:sz="4" w:space="0" w:color="auto"/>
            </w:tcBorders>
            <w:shd w:val="clear" w:color="auto" w:fill="auto"/>
            <w:noWrap/>
            <w:vAlign w:val="center"/>
          </w:tcPr>
          <w:p w14:paraId="2736E811"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43D1413" w14:textId="77777777" w:rsidTr="000B4F29">
        <w:trPr>
          <w:gridAfter w:val="1"/>
          <w:wAfter w:w="146" w:type="dxa"/>
          <w:trHeight w:val="336"/>
        </w:trPr>
        <w:tc>
          <w:tcPr>
            <w:tcW w:w="1026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52D06"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El titular de la cuenta bancaria deberá corresponderse con la persona del Adjudicatario</w:t>
            </w:r>
          </w:p>
        </w:tc>
      </w:tr>
      <w:tr w:rsidR="00310034" w:rsidRPr="00770247" w14:paraId="7C92D220" w14:textId="77777777" w:rsidTr="000B4F29">
        <w:trPr>
          <w:gridAfter w:val="1"/>
          <w:wAfter w:w="146" w:type="dxa"/>
          <w:trHeight w:val="292"/>
        </w:trPr>
        <w:tc>
          <w:tcPr>
            <w:tcW w:w="1026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7FA8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La planilla deberá estar completa en procesador de texto sin excepción. </w:t>
            </w:r>
          </w:p>
        </w:tc>
      </w:tr>
      <w:tr w:rsidR="00310034" w:rsidRPr="00770247" w14:paraId="740E1AAD" w14:textId="77777777" w:rsidTr="000B4F29">
        <w:trPr>
          <w:gridAfter w:val="1"/>
          <w:wAfter w:w="146" w:type="dxa"/>
          <w:trHeight w:val="292"/>
        </w:trPr>
        <w:tc>
          <w:tcPr>
            <w:tcW w:w="1026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27940199" w14:textId="31E8E019" w:rsidR="00883742" w:rsidRPr="00F67D7D" w:rsidRDefault="00310034" w:rsidP="00883742">
            <w:pPr>
              <w:jc w:val="center"/>
              <w:rPr>
                <w:rFonts w:ascii="Calibri" w:hAnsi="Calibri"/>
                <w:b/>
                <w:bCs/>
                <w:color w:val="000000"/>
                <w:sz w:val="18"/>
                <w:szCs w:val="18"/>
                <w:lang w:eastAsia="es-AR"/>
              </w:rPr>
            </w:pPr>
            <w:r>
              <w:rPr>
                <w:rFonts w:ascii="Calibri" w:hAnsi="Calibri"/>
                <w:b/>
                <w:bCs/>
                <w:color w:val="000000"/>
                <w:sz w:val="18"/>
                <w:szCs w:val="18"/>
                <w:lang w:eastAsia="es-AR"/>
              </w:rPr>
              <w:t>Completar datos bancarios, en el caso de ser adjudicatario, el pago es por transferencia bancaria</w:t>
            </w:r>
          </w:p>
        </w:tc>
      </w:tr>
      <w:tr w:rsidR="00883742" w:rsidRPr="00770247" w14:paraId="55115AD8" w14:textId="77777777" w:rsidTr="000B4F29">
        <w:trPr>
          <w:gridAfter w:val="1"/>
          <w:wAfter w:w="146" w:type="dxa"/>
          <w:trHeight w:val="1222"/>
        </w:trPr>
        <w:tc>
          <w:tcPr>
            <w:tcW w:w="375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C2A474C" w14:textId="15C2F6E2" w:rsidR="00883742" w:rsidRDefault="000B4F29" w:rsidP="000B4F29">
            <w:pPr>
              <w:ind w:right="2910"/>
              <w:rPr>
                <w:rFonts w:ascii="Calibri" w:hAnsi="Calibri"/>
                <w:b/>
                <w:bCs/>
                <w:color w:val="000000"/>
                <w:sz w:val="18"/>
                <w:szCs w:val="18"/>
                <w:lang w:eastAsia="es-AR"/>
              </w:rPr>
            </w:pPr>
            <w:r>
              <w:rPr>
                <w:rFonts w:ascii="Calibri" w:hAnsi="Calibri"/>
                <w:b/>
                <w:bCs/>
                <w:color w:val="000000"/>
                <w:sz w:val="18"/>
                <w:szCs w:val="18"/>
                <w:lang w:eastAsia="es-AR"/>
              </w:rPr>
              <w:t>Firma y Aclaración</w:t>
            </w:r>
          </w:p>
        </w:tc>
        <w:tc>
          <w:tcPr>
            <w:tcW w:w="651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FD1F785" w14:textId="1D4C1E12" w:rsidR="00883742" w:rsidRDefault="00883742" w:rsidP="00883742">
            <w:pPr>
              <w:ind w:left="-2906"/>
              <w:jc w:val="center"/>
              <w:rPr>
                <w:rFonts w:ascii="Calibri" w:hAnsi="Calibri"/>
                <w:b/>
                <w:bCs/>
                <w:color w:val="000000"/>
                <w:sz w:val="18"/>
                <w:szCs w:val="18"/>
                <w:lang w:eastAsia="es-AR"/>
              </w:rPr>
            </w:pPr>
          </w:p>
        </w:tc>
      </w:tr>
    </w:tbl>
    <w:p w14:paraId="5C2265B8" w14:textId="77777777" w:rsidR="00310034" w:rsidRDefault="00310034" w:rsidP="00310034">
      <w:pPr>
        <w:spacing w:line="276" w:lineRule="auto"/>
        <w:jc w:val="center"/>
      </w:pPr>
    </w:p>
    <w:p w14:paraId="2EA51BE3" w14:textId="77777777" w:rsidR="00310034" w:rsidRDefault="00310034" w:rsidP="00310034">
      <w:pPr>
        <w:spacing w:line="276" w:lineRule="auto"/>
      </w:pPr>
    </w:p>
    <w:p w14:paraId="0F2B975A" w14:textId="77777777" w:rsidR="00310034" w:rsidRPr="00642B6C" w:rsidRDefault="00310034" w:rsidP="00310034"/>
    <w:p w14:paraId="165A20E7" w14:textId="77777777" w:rsidR="00310034" w:rsidRPr="00642B6C" w:rsidRDefault="00310034" w:rsidP="00310034"/>
    <w:p w14:paraId="1AAD0328" w14:textId="77777777" w:rsidR="00310034" w:rsidRPr="00642B6C" w:rsidRDefault="00310034" w:rsidP="00310034"/>
    <w:p w14:paraId="7A5EC2B6" w14:textId="77777777" w:rsidR="00310034" w:rsidRPr="00642B6C" w:rsidRDefault="00310034" w:rsidP="00310034"/>
    <w:p w14:paraId="2060AE44" w14:textId="77777777" w:rsidR="00310034" w:rsidRPr="00642B6C" w:rsidRDefault="00310034" w:rsidP="00310034"/>
    <w:p w14:paraId="3612C620" w14:textId="34E574D2" w:rsidR="00012586" w:rsidRPr="0034239D" w:rsidRDefault="00012586" w:rsidP="0034239D">
      <w:pPr>
        <w:tabs>
          <w:tab w:val="left" w:pos="3690"/>
        </w:tabs>
      </w:pPr>
    </w:p>
    <w:sectPr w:rsidR="00012586" w:rsidRPr="0034239D" w:rsidSect="00012586">
      <w:headerReference w:type="default" r:id="rId10"/>
      <w:footerReference w:type="even" r:id="rId11"/>
      <w:footerReference w:type="default" r:id="rId12"/>
      <w:pgSz w:w="11900" w:h="16840"/>
      <w:pgMar w:top="2835" w:right="1134" w:bottom="2127" w:left="1134" w:header="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B052" w14:textId="77777777" w:rsidR="00BC3369" w:rsidRDefault="00BC3369" w:rsidP="0060495E">
      <w:r>
        <w:separator/>
      </w:r>
    </w:p>
  </w:endnote>
  <w:endnote w:type="continuationSeparator" w:id="0">
    <w:p w14:paraId="6D469BE4" w14:textId="77777777" w:rsidR="00BC3369" w:rsidRDefault="00BC3369" w:rsidP="006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959B" w14:textId="77777777" w:rsidR="0061459C" w:rsidRDefault="0061459C" w:rsidP="00CE49E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D4AAC" w14:textId="77777777" w:rsidR="0061459C" w:rsidRDefault="0061459C" w:rsidP="006145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EC7" w14:textId="77777777" w:rsidR="0061459C" w:rsidRPr="00B27939" w:rsidRDefault="0061459C" w:rsidP="00B27939">
    <w:pPr>
      <w:pStyle w:val="Piedepgina"/>
      <w:framePr w:wrap="none" w:vAnchor="text" w:hAnchor="page" w:x="10702" w:y="-568"/>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sidR="00E439FE">
      <w:rPr>
        <w:rStyle w:val="Nmerodepgina"/>
        <w:rFonts w:ascii="Helvetica Neue" w:hAnsi="Helvetica Neue"/>
        <w:noProof/>
      </w:rPr>
      <w:t>1</w:t>
    </w:r>
    <w:r w:rsidRPr="00B27939">
      <w:rPr>
        <w:rStyle w:val="Nmerodepgina"/>
        <w:rFonts w:ascii="Helvetica Neue" w:hAnsi="Helvetica Neue"/>
      </w:rPr>
      <w:fldChar w:fldCharType="end"/>
    </w:r>
  </w:p>
  <w:p w14:paraId="1D3E3405" w14:textId="0012B121" w:rsidR="00A7793F" w:rsidRPr="00BC220C" w:rsidRDefault="00BA404C" w:rsidP="0061459C">
    <w:pPr>
      <w:pStyle w:val="Piedepgina"/>
      <w:ind w:left="-1276" w:right="360"/>
      <w:rPr>
        <w:rFonts w:ascii="Arial" w:hAnsi="Arial"/>
        <w:color w:val="0092D2"/>
        <w:sz w:val="20"/>
        <w:szCs w:val="20"/>
      </w:rPr>
    </w:pPr>
    <w:r>
      <w:rPr>
        <w:rFonts w:ascii="Arial" w:hAnsi="Arial"/>
        <w:noProof/>
        <w:color w:val="0092D2"/>
        <w:sz w:val="20"/>
        <w:szCs w:val="20"/>
        <w:lang w:val="es-ES" w:eastAsia="es-ES"/>
      </w:rPr>
      <w:drawing>
        <wp:anchor distT="0" distB="0" distL="114300" distR="114300" simplePos="0" relativeHeight="251659264" behindDoc="1" locked="0" layoutInCell="1" allowOverlap="1" wp14:anchorId="414C95E3" wp14:editId="7C41D525">
          <wp:simplePos x="0" y="0"/>
          <wp:positionH relativeFrom="column">
            <wp:align>center</wp:align>
          </wp:positionH>
          <wp:positionV relativeFrom="paragraph">
            <wp:posOffset>-618490</wp:posOffset>
          </wp:positionV>
          <wp:extent cx="6854139" cy="725833"/>
          <wp:effectExtent l="0" t="0" r="4445" b="107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5972" w14:textId="77777777" w:rsidR="00BC3369" w:rsidRDefault="00BC3369" w:rsidP="0060495E">
      <w:r>
        <w:separator/>
      </w:r>
    </w:p>
  </w:footnote>
  <w:footnote w:type="continuationSeparator" w:id="0">
    <w:p w14:paraId="19AA5D27" w14:textId="77777777" w:rsidR="00BC3369" w:rsidRDefault="00BC3369" w:rsidP="0060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76D" w14:textId="35358A64" w:rsidR="00A7793F" w:rsidRDefault="004212A7" w:rsidP="006F773F">
    <w:pPr>
      <w:pStyle w:val="Encabezado"/>
    </w:pPr>
    <w:r>
      <w:rPr>
        <w:noProof/>
      </w:rPr>
      <w:drawing>
        <wp:anchor distT="0" distB="0" distL="114300" distR="114300" simplePos="0" relativeHeight="251660288" behindDoc="1" locked="0" layoutInCell="1" allowOverlap="1" wp14:anchorId="5AD22A7C" wp14:editId="2F71A0E0">
          <wp:simplePos x="0" y="0"/>
          <wp:positionH relativeFrom="margin">
            <wp:posOffset>-701040</wp:posOffset>
          </wp:positionH>
          <wp:positionV relativeFrom="paragraph">
            <wp:posOffset>19050</wp:posOffset>
          </wp:positionV>
          <wp:extent cx="7543524" cy="1258560"/>
          <wp:effectExtent l="0" t="0" r="635"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R_Membretada_2022_Minuscula SIN COMILLAS.jpg"/>
                  <pic:cNvPicPr/>
                </pic:nvPicPr>
                <pic:blipFill>
                  <a:blip r:embed="rId1"/>
                  <a:stretch>
                    <a:fillRect/>
                  </a:stretch>
                </pic:blipFill>
                <pic:spPr>
                  <a:xfrm>
                    <a:off x="0" y="0"/>
                    <a:ext cx="7543524" cy="1258560"/>
                  </a:xfrm>
                  <a:prstGeom prst="rect">
                    <a:avLst/>
                  </a:prstGeom>
                </pic:spPr>
              </pic:pic>
            </a:graphicData>
          </a:graphic>
          <wp14:sizeRelH relativeFrom="page">
            <wp14:pctWidth>0</wp14:pctWidth>
          </wp14:sizeRelH>
          <wp14:sizeRelV relativeFrom="page">
            <wp14:pctHeight>0</wp14:pctHeight>
          </wp14:sizeRelV>
        </wp:anchor>
      </w:drawing>
    </w:r>
  </w:p>
  <w:p w14:paraId="620AF013" w14:textId="77777777" w:rsidR="004212A7" w:rsidRDefault="004212A7" w:rsidP="006F773F">
    <w:pPr>
      <w:pStyle w:val="Encabezado"/>
    </w:pPr>
  </w:p>
  <w:p w14:paraId="52D5BD8B" w14:textId="77777777" w:rsidR="00310034" w:rsidRDefault="00310034" w:rsidP="00310034">
    <w:pPr>
      <w:tabs>
        <w:tab w:val="left" w:pos="2055"/>
        <w:tab w:val="center" w:pos="4252"/>
      </w:tabs>
      <w:jc w:val="center"/>
      <w:rPr>
        <w:b/>
        <w:sz w:val="20"/>
      </w:rPr>
    </w:pPr>
  </w:p>
  <w:p w14:paraId="3ECB9669" w14:textId="515812C9" w:rsidR="004212A7" w:rsidRDefault="004212A7" w:rsidP="006F773F">
    <w:pPr>
      <w:pStyle w:val="Encabezado"/>
    </w:pPr>
  </w:p>
  <w:p w14:paraId="3AD58F99" w14:textId="2DF2AD9C" w:rsidR="00310034" w:rsidRDefault="00310034" w:rsidP="006F773F">
    <w:pPr>
      <w:pStyle w:val="Encabezado"/>
    </w:pPr>
  </w:p>
  <w:p w14:paraId="51FB0905" w14:textId="2695EC5F" w:rsidR="00310034" w:rsidRDefault="00310034" w:rsidP="006F773F">
    <w:pPr>
      <w:pStyle w:val="Encabezado"/>
    </w:pPr>
  </w:p>
  <w:p w14:paraId="6099AD09" w14:textId="029018C7" w:rsidR="00310034" w:rsidRDefault="00310034" w:rsidP="006F773F">
    <w:pPr>
      <w:pStyle w:val="Encabezado"/>
    </w:pPr>
  </w:p>
  <w:p w14:paraId="6D1329FC" w14:textId="133EA263" w:rsidR="00310034" w:rsidRDefault="00310034" w:rsidP="006F773F">
    <w:pPr>
      <w:pStyle w:val="Encabezado"/>
    </w:pPr>
  </w:p>
  <w:p w14:paraId="41F0FB16" w14:textId="77777777" w:rsidR="00310034" w:rsidRDefault="00310034" w:rsidP="00310034">
    <w:pPr>
      <w:tabs>
        <w:tab w:val="left" w:pos="2055"/>
        <w:tab w:val="center" w:pos="4252"/>
      </w:tabs>
      <w:jc w:val="center"/>
      <w:rPr>
        <w:b/>
        <w:sz w:val="20"/>
      </w:rPr>
    </w:pPr>
  </w:p>
  <w:p w14:paraId="5A4142DB" w14:textId="14AEB057" w:rsidR="009B4776" w:rsidRDefault="00310034" w:rsidP="009B4776">
    <w:pPr>
      <w:tabs>
        <w:tab w:val="left" w:pos="2055"/>
        <w:tab w:val="center" w:pos="4252"/>
      </w:tabs>
      <w:jc w:val="center"/>
      <w:rPr>
        <w:b/>
        <w:sz w:val="20"/>
      </w:rPr>
    </w:pPr>
    <w:r>
      <w:rPr>
        <w:b/>
        <w:sz w:val="20"/>
      </w:rPr>
      <w:t xml:space="preserve">EDUC.AR SOCIEDAD DEL ESTADO - </w:t>
    </w:r>
    <w:r w:rsidRPr="00820866">
      <w:rPr>
        <w:b/>
        <w:sz w:val="20"/>
      </w:rPr>
      <w:t>TÉRMINOS DE CONTRATACIÓN</w:t>
    </w:r>
    <w:r w:rsidR="00A61448">
      <w:rPr>
        <w:b/>
        <w:sz w:val="20"/>
      </w:rPr>
      <w:t xml:space="preserve"> </w:t>
    </w:r>
  </w:p>
  <w:p w14:paraId="64E8617E" w14:textId="77777777" w:rsidR="00310034" w:rsidRPr="006F773F" w:rsidRDefault="00310034" w:rsidP="006F7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796"/>
    <w:multiLevelType w:val="hybridMultilevel"/>
    <w:tmpl w:val="02EEA098"/>
    <w:lvl w:ilvl="0" w:tplc="129ADFD2">
      <w:start w:val="1"/>
      <w:numFmt w:val="bullet"/>
      <w:lvlText w:val=""/>
      <w:lvlJc w:val="left"/>
      <w:pPr>
        <w:ind w:left="720" w:hanging="360"/>
      </w:pPr>
      <w:rPr>
        <w:rFonts w:ascii="Symbol" w:hAnsi="Symbol" w:hint="default"/>
        <w:color w:val="0D0D0D"/>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FF25708"/>
    <w:multiLevelType w:val="hybridMultilevel"/>
    <w:tmpl w:val="E3001B04"/>
    <w:lvl w:ilvl="0" w:tplc="29225B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227D6E"/>
    <w:multiLevelType w:val="hybridMultilevel"/>
    <w:tmpl w:val="46967E80"/>
    <w:lvl w:ilvl="0" w:tplc="9BBABAF0">
      <w:start w:val="1"/>
      <w:numFmt w:val="decimal"/>
      <w:lvlText w:val="%1."/>
      <w:lvlJc w:val="left"/>
      <w:pPr>
        <w:ind w:left="786"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CA41C8E"/>
    <w:multiLevelType w:val="hybridMultilevel"/>
    <w:tmpl w:val="69CA00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472D508B"/>
    <w:multiLevelType w:val="hybridMultilevel"/>
    <w:tmpl w:val="8086206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69EC6310"/>
    <w:multiLevelType w:val="hybridMultilevel"/>
    <w:tmpl w:val="59EC292C"/>
    <w:lvl w:ilvl="0" w:tplc="539052D0">
      <w:start w:val="1"/>
      <w:numFmt w:val="decimal"/>
      <w:lvlText w:val="%1."/>
      <w:lvlJc w:val="left"/>
      <w:pPr>
        <w:ind w:left="644" w:hanging="360"/>
      </w:pPr>
      <w:rPr>
        <w:rFonts w:ascii="Calibri" w:hAnsi="Calibri" w:cs="Calibri" w:hint="default"/>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7AD50F73"/>
    <w:multiLevelType w:val="hybridMultilevel"/>
    <w:tmpl w:val="05D412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564336504">
    <w:abstractNumId w:val="2"/>
  </w:num>
  <w:num w:numId="2" w16cid:durableId="15694641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3835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56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25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288132">
    <w:abstractNumId w:val="5"/>
  </w:num>
  <w:num w:numId="7" w16cid:durableId="184570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318ED"/>
    <w:rsid w:val="00031AC0"/>
    <w:rsid w:val="000366FB"/>
    <w:rsid w:val="0005465E"/>
    <w:rsid w:val="000B4F29"/>
    <w:rsid w:val="00116ADA"/>
    <w:rsid w:val="00190613"/>
    <w:rsid w:val="001C6080"/>
    <w:rsid w:val="001E2F67"/>
    <w:rsid w:val="001E3171"/>
    <w:rsid w:val="001F451A"/>
    <w:rsid w:val="00247FA1"/>
    <w:rsid w:val="00254F28"/>
    <w:rsid w:val="00256713"/>
    <w:rsid w:val="002A4F23"/>
    <w:rsid w:val="002C33EA"/>
    <w:rsid w:val="002D1E9B"/>
    <w:rsid w:val="002D777C"/>
    <w:rsid w:val="00310034"/>
    <w:rsid w:val="00311391"/>
    <w:rsid w:val="0034239D"/>
    <w:rsid w:val="00364B5D"/>
    <w:rsid w:val="003D0FE9"/>
    <w:rsid w:val="003D3C68"/>
    <w:rsid w:val="00407E10"/>
    <w:rsid w:val="004212A7"/>
    <w:rsid w:val="00421B88"/>
    <w:rsid w:val="00426742"/>
    <w:rsid w:val="00495C6A"/>
    <w:rsid w:val="004F2F64"/>
    <w:rsid w:val="00545C21"/>
    <w:rsid w:val="0055531E"/>
    <w:rsid w:val="005828C4"/>
    <w:rsid w:val="005A7CE8"/>
    <w:rsid w:val="005C0973"/>
    <w:rsid w:val="005D54B1"/>
    <w:rsid w:val="0060495E"/>
    <w:rsid w:val="0061459C"/>
    <w:rsid w:val="00617800"/>
    <w:rsid w:val="00634A2E"/>
    <w:rsid w:val="0065263A"/>
    <w:rsid w:val="00657C6A"/>
    <w:rsid w:val="006F5CB0"/>
    <w:rsid w:val="006F773F"/>
    <w:rsid w:val="00701153"/>
    <w:rsid w:val="00704780"/>
    <w:rsid w:val="007A65EA"/>
    <w:rsid w:val="007B433C"/>
    <w:rsid w:val="007F20AD"/>
    <w:rsid w:val="008207DE"/>
    <w:rsid w:val="008442A5"/>
    <w:rsid w:val="00883742"/>
    <w:rsid w:val="008B3C8A"/>
    <w:rsid w:val="008C22B5"/>
    <w:rsid w:val="008D14C0"/>
    <w:rsid w:val="00934D7A"/>
    <w:rsid w:val="00965C9E"/>
    <w:rsid w:val="009B4776"/>
    <w:rsid w:val="009D28CF"/>
    <w:rsid w:val="00A27DD1"/>
    <w:rsid w:val="00A5734F"/>
    <w:rsid w:val="00A61448"/>
    <w:rsid w:val="00A7793F"/>
    <w:rsid w:val="00AB5E9A"/>
    <w:rsid w:val="00AC75FE"/>
    <w:rsid w:val="00AD315D"/>
    <w:rsid w:val="00AF2F0F"/>
    <w:rsid w:val="00AF76EC"/>
    <w:rsid w:val="00B27939"/>
    <w:rsid w:val="00B27FFE"/>
    <w:rsid w:val="00B3423A"/>
    <w:rsid w:val="00B70731"/>
    <w:rsid w:val="00B86004"/>
    <w:rsid w:val="00BA404C"/>
    <w:rsid w:val="00BC220C"/>
    <w:rsid w:val="00BC3369"/>
    <w:rsid w:val="00BF3BFB"/>
    <w:rsid w:val="00C16FED"/>
    <w:rsid w:val="00C33D9F"/>
    <w:rsid w:val="00C96130"/>
    <w:rsid w:val="00CA22A7"/>
    <w:rsid w:val="00CB0BF9"/>
    <w:rsid w:val="00D315C9"/>
    <w:rsid w:val="00D56E6D"/>
    <w:rsid w:val="00D86E20"/>
    <w:rsid w:val="00DA3A80"/>
    <w:rsid w:val="00DA3DB6"/>
    <w:rsid w:val="00DA6CE4"/>
    <w:rsid w:val="00DC7DE7"/>
    <w:rsid w:val="00DD19F7"/>
    <w:rsid w:val="00DF4ADB"/>
    <w:rsid w:val="00DF6F78"/>
    <w:rsid w:val="00E03DEE"/>
    <w:rsid w:val="00E130BA"/>
    <w:rsid w:val="00E21261"/>
    <w:rsid w:val="00E439FE"/>
    <w:rsid w:val="00E446D2"/>
    <w:rsid w:val="00E76CF3"/>
    <w:rsid w:val="00E94451"/>
    <w:rsid w:val="00E952F6"/>
    <w:rsid w:val="00EC284C"/>
    <w:rsid w:val="00EC2B77"/>
    <w:rsid w:val="00F3091E"/>
    <w:rsid w:val="00F52194"/>
    <w:rsid w:val="00F6660E"/>
    <w:rsid w:val="00F72CC3"/>
    <w:rsid w:val="00FC1D3A"/>
    <w:rsid w:val="00FD5E2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E617950"/>
  <w15:docId w15:val="{86D17567-1921-4840-804F-8ADAE59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C6080"/>
    <w:pPr>
      <w:spacing w:before="100" w:beforeAutospacing="1" w:after="100" w:afterAutospacing="1"/>
      <w:outlineLvl w:val="1"/>
    </w:pPr>
    <w:rPr>
      <w:rFonts w:ascii="Times New Roman" w:hAnsi="Times New Roman" w:cs="Times New Roman"/>
      <w:b/>
      <w:bCs/>
      <w:sz w:val="36"/>
      <w:szCs w:val="36"/>
      <w:lang w:val="en-US"/>
    </w:rPr>
  </w:style>
  <w:style w:type="paragraph" w:styleId="Ttulo3">
    <w:name w:val="heading 3"/>
    <w:basedOn w:val="Normal"/>
    <w:next w:val="Normal"/>
    <w:link w:val="Ttulo3Car"/>
    <w:uiPriority w:val="9"/>
    <w:semiHidden/>
    <w:unhideWhenUsed/>
    <w:qFormat/>
    <w:rsid w:val="001E2F6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1C6080"/>
    <w:rPr>
      <w:rFonts w:ascii="Times New Roman" w:hAnsi="Times New Roman" w:cs="Times New Roman"/>
      <w:b/>
      <w:bCs/>
      <w:sz w:val="36"/>
      <w:szCs w:val="36"/>
      <w:lang w:val="en-US"/>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uiPriority w:val="22"/>
    <w:qFormat/>
    <w:rsid w:val="001C6080"/>
    <w:rPr>
      <w:b/>
      <w:bCs/>
    </w:rPr>
  </w:style>
  <w:style w:type="paragraph" w:styleId="Textonotapie">
    <w:name w:val="footnote text"/>
    <w:basedOn w:val="Normal"/>
    <w:link w:val="TextonotapieCar"/>
    <w:uiPriority w:val="99"/>
    <w:unhideWhenUsed/>
    <w:rsid w:val="007F20AD"/>
  </w:style>
  <w:style w:type="character" w:customStyle="1" w:styleId="TextonotapieCar">
    <w:name w:val="Texto nota pie Car"/>
    <w:basedOn w:val="Fuentedeprrafopredeter"/>
    <w:link w:val="Textonotapie"/>
    <w:uiPriority w:val="99"/>
    <w:rsid w:val="007F20AD"/>
  </w:style>
  <w:style w:type="character" w:styleId="Refdenotaalpie">
    <w:name w:val="footnote reference"/>
    <w:basedOn w:val="Fuentedeprrafopredeter"/>
    <w:uiPriority w:val="99"/>
    <w:unhideWhenUsed/>
    <w:rsid w:val="007F20AD"/>
    <w:rPr>
      <w:vertAlign w:val="superscript"/>
    </w:rPr>
  </w:style>
  <w:style w:type="paragraph" w:customStyle="1" w:styleId="Default">
    <w:name w:val="Default"/>
    <w:rsid w:val="00310034"/>
    <w:pPr>
      <w:autoSpaceDE w:val="0"/>
      <w:autoSpaceDN w:val="0"/>
      <w:adjustRightInd w:val="0"/>
    </w:pPr>
    <w:rPr>
      <w:rFonts w:ascii="Arial Narrow" w:eastAsia="Times New Roman" w:hAnsi="Arial Narrow" w:cs="Times New Roman"/>
      <w:color w:val="000000"/>
      <w:lang w:val="en-US"/>
    </w:rPr>
  </w:style>
  <w:style w:type="paragraph" w:styleId="Prrafodelista">
    <w:name w:val="List Paragraph"/>
    <w:basedOn w:val="Normal"/>
    <w:uiPriority w:val="34"/>
    <w:qFormat/>
    <w:rsid w:val="00310034"/>
    <w:pPr>
      <w:ind w:left="720"/>
      <w:contextualSpacing/>
    </w:pPr>
    <w:rPr>
      <w:rFonts w:ascii="Times New Roman" w:eastAsia="Times New Roman" w:hAnsi="Times New Roman" w:cs="Times New Roman"/>
      <w:szCs w:val="20"/>
      <w:lang w:val="es-ES" w:eastAsia="es-ES"/>
    </w:rPr>
  </w:style>
  <w:style w:type="table" w:styleId="Tablaconcuadrcula">
    <w:name w:val="Table Grid"/>
    <w:aliases w:val="Nexus Table"/>
    <w:basedOn w:val="Tablanormal"/>
    <w:uiPriority w:val="59"/>
    <w:rsid w:val="001E2F67"/>
    <w:rPr>
      <w:rFonts w:ascii="Calibri" w:eastAsia="Calibri" w:hAnsi="Calibri" w:cs="Times New Roman"/>
      <w:sz w:val="20"/>
      <w:szCs w:val="20"/>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2F67"/>
    <w:pPr>
      <w:widowControl w:val="0"/>
      <w:suppressAutoHyphens/>
    </w:pPr>
    <w:rPr>
      <w:rFonts w:eastAsia="SimSun"/>
      <w:sz w:val="22"/>
      <w:szCs w:val="22"/>
      <w:lang w:val="en-US"/>
    </w:rPr>
  </w:style>
  <w:style w:type="paragraph" w:customStyle="1" w:styleId="NormalETAP2000">
    <w:name w:val="Normal ETAP 2000"/>
    <w:basedOn w:val="Normal"/>
    <w:rsid w:val="001E2F67"/>
    <w:pPr>
      <w:spacing w:before="60"/>
      <w:ind w:firstLine="709"/>
      <w:jc w:val="both"/>
    </w:pPr>
    <w:rPr>
      <w:rFonts w:ascii="Arial Narrow" w:eastAsia="Times New Roman" w:hAnsi="Arial Narrow" w:cs="Times New Roman"/>
      <w:sz w:val="22"/>
      <w:szCs w:val="20"/>
      <w:lang w:val="es-ES" w:eastAsia="es-ES"/>
    </w:rPr>
  </w:style>
  <w:style w:type="paragraph" w:customStyle="1" w:styleId="Ttulo3ETAP2000">
    <w:name w:val="Título 3 ETAP 2000"/>
    <w:basedOn w:val="Ttulo3"/>
    <w:rsid w:val="001E2F67"/>
    <w:pPr>
      <w:keepLines w:val="0"/>
      <w:spacing w:before="120" w:after="60"/>
      <w:ind w:firstLine="567"/>
      <w:jc w:val="both"/>
    </w:pPr>
    <w:rPr>
      <w:rFonts w:ascii="Arial Narrow" w:eastAsia="Times New Roman" w:hAnsi="Arial Narrow" w:cs="Times New Roman"/>
      <w:b/>
      <w:color w:val="auto"/>
      <w:sz w:val="26"/>
      <w:szCs w:val="20"/>
      <w:u w:val="single"/>
      <w:lang w:eastAsia="es-ES"/>
    </w:rPr>
  </w:style>
  <w:style w:type="character" w:customStyle="1" w:styleId="Ttulo3Car">
    <w:name w:val="Título 3 Car"/>
    <w:basedOn w:val="Fuentedeprrafopredeter"/>
    <w:link w:val="Ttulo3"/>
    <w:uiPriority w:val="9"/>
    <w:semiHidden/>
    <w:rsid w:val="001E2F67"/>
    <w:rPr>
      <w:rFonts w:asciiTheme="majorHAnsi" w:eastAsiaTheme="majorEastAsia" w:hAnsiTheme="majorHAnsi" w:cstheme="majorBidi"/>
      <w:color w:val="243F60" w:themeColor="accent1" w:themeShade="7F"/>
    </w:rPr>
  </w:style>
  <w:style w:type="character" w:customStyle="1" w:styleId="fontstyle01">
    <w:name w:val="fontstyle01"/>
    <w:basedOn w:val="Fuentedeprrafopredeter"/>
    <w:rsid w:val="00B3423A"/>
    <w:rPr>
      <w:rFonts w:ascii="Calibri-Bold" w:hAnsi="Calibri-Bold" w:hint="default"/>
      <w:b/>
      <w:bCs/>
      <w:i w:val="0"/>
      <w:iCs w:val="0"/>
      <w:color w:val="000000"/>
      <w:sz w:val="20"/>
      <w:szCs w:val="20"/>
    </w:rPr>
  </w:style>
  <w:style w:type="character" w:customStyle="1" w:styleId="fontstyle21">
    <w:name w:val="fontstyle21"/>
    <w:basedOn w:val="Fuentedeprrafopredeter"/>
    <w:rsid w:val="00B3423A"/>
    <w:rPr>
      <w:rFonts w:ascii="Calibri" w:hAnsi="Calibri" w:cs="Calibri"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5A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8455">
      <w:bodyDiv w:val="1"/>
      <w:marLeft w:val="0"/>
      <w:marRight w:val="0"/>
      <w:marTop w:val="0"/>
      <w:marBottom w:val="0"/>
      <w:divBdr>
        <w:top w:val="none" w:sz="0" w:space="0" w:color="auto"/>
        <w:left w:val="none" w:sz="0" w:space="0" w:color="auto"/>
        <w:bottom w:val="none" w:sz="0" w:space="0" w:color="auto"/>
        <w:right w:val="none" w:sz="0" w:space="0" w:color="auto"/>
      </w:divBdr>
    </w:div>
    <w:div w:id="195701784">
      <w:bodyDiv w:val="1"/>
      <w:marLeft w:val="0"/>
      <w:marRight w:val="0"/>
      <w:marTop w:val="0"/>
      <w:marBottom w:val="0"/>
      <w:divBdr>
        <w:top w:val="none" w:sz="0" w:space="0" w:color="auto"/>
        <w:left w:val="none" w:sz="0" w:space="0" w:color="auto"/>
        <w:bottom w:val="none" w:sz="0" w:space="0" w:color="auto"/>
        <w:right w:val="none" w:sz="0" w:space="0" w:color="auto"/>
      </w:divBdr>
    </w:div>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364791979">
      <w:bodyDiv w:val="1"/>
      <w:marLeft w:val="0"/>
      <w:marRight w:val="0"/>
      <w:marTop w:val="0"/>
      <w:marBottom w:val="0"/>
      <w:divBdr>
        <w:top w:val="none" w:sz="0" w:space="0" w:color="auto"/>
        <w:left w:val="none" w:sz="0" w:space="0" w:color="auto"/>
        <w:bottom w:val="none" w:sz="0" w:space="0" w:color="auto"/>
        <w:right w:val="none" w:sz="0" w:space="0" w:color="auto"/>
      </w:divBdr>
    </w:div>
    <w:div w:id="1575161039">
      <w:bodyDiv w:val="1"/>
      <w:marLeft w:val="0"/>
      <w:marRight w:val="0"/>
      <w:marTop w:val="0"/>
      <w:marBottom w:val="0"/>
      <w:divBdr>
        <w:top w:val="none" w:sz="0" w:space="0" w:color="auto"/>
        <w:left w:val="none" w:sz="0" w:space="0" w:color="auto"/>
        <w:bottom w:val="none" w:sz="0" w:space="0" w:color="auto"/>
        <w:right w:val="none" w:sz="0" w:space="0" w:color="auto"/>
      </w:divBdr>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fernandez@educar.gob.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cturacion@educar.gob.a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45B80FB-D9D6-41C5-A76A-AFCD2879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2172</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Coratolo</dc:creator>
  <cp:lastModifiedBy>Santiago Galli</cp:lastModifiedBy>
  <cp:revision>19</cp:revision>
  <cp:lastPrinted>2020-11-27T21:31:00Z</cp:lastPrinted>
  <dcterms:created xsi:type="dcterms:W3CDTF">2022-02-04T18:17:00Z</dcterms:created>
  <dcterms:modified xsi:type="dcterms:W3CDTF">2022-09-06T13:12:00Z</dcterms:modified>
</cp:coreProperties>
</file>