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25A8B253" w:rsidR="00310034" w:rsidRPr="00CC2320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hyperlink r:id="rId8" w:history="1">
        <w:r w:rsidRPr="000179B2">
          <w:rPr>
            <w:rStyle w:val="Hipervnculo"/>
            <w:rFonts w:cs="Arial"/>
            <w:sz w:val="20"/>
          </w:rPr>
          <w:t>infraestructura@educar.gob.ar</w:t>
        </w:r>
      </w:hyperlink>
      <w:r>
        <w:rPr>
          <w:rStyle w:val="Hipervnculo"/>
          <w:rFonts w:cs="Arial"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20A644BC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a mes vencido contra prestación de servicios. Los pagos se realizarán con transferencia bancaria dentro de los </w:t>
      </w:r>
      <w:r w:rsidR="00190613">
        <w:rPr>
          <w:rFonts w:cs="Arial"/>
          <w:bCs/>
          <w:sz w:val="20"/>
        </w:rPr>
        <w:t>treinta</w:t>
      </w:r>
      <w:r w:rsidRPr="001332FF">
        <w:rPr>
          <w:rFonts w:cs="Arial"/>
          <w:bCs/>
          <w:sz w:val="20"/>
        </w:rPr>
        <w:t xml:space="preserve"> (</w:t>
      </w:r>
      <w:r w:rsidR="00190613">
        <w:rPr>
          <w:rFonts w:cs="Arial"/>
          <w:bCs/>
          <w:sz w:val="20"/>
        </w:rPr>
        <w:t>30</w:t>
      </w:r>
      <w:r w:rsidRPr="001332FF">
        <w:rPr>
          <w:rFonts w:cs="Arial"/>
          <w:bCs/>
          <w:sz w:val="20"/>
        </w:rPr>
        <w:t>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049"/>
        <w:gridCol w:w="603"/>
        <w:gridCol w:w="752"/>
        <w:gridCol w:w="452"/>
        <w:gridCol w:w="1495"/>
        <w:gridCol w:w="3285"/>
      </w:tblGrid>
      <w:tr w:rsidR="00310034" w:rsidRPr="004D6E4D" w14:paraId="248D2851" w14:textId="77777777" w:rsidTr="00DA3A80">
        <w:trPr>
          <w:trHeight w:val="381"/>
          <w:tblHeader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57BBF78F" w:rsidR="00310034" w:rsidRPr="00ED1894" w:rsidRDefault="00320502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320502">
              <w:rPr>
                <w:rFonts w:cstheme="minorHAnsi"/>
                <w:b/>
                <w:i/>
                <w:iCs/>
                <w:sz w:val="20"/>
              </w:rPr>
              <w:t>EX-2022-20205633-   -APN-DAYF#EDUCAR</w:t>
            </w:r>
          </w:p>
        </w:tc>
      </w:tr>
      <w:tr w:rsidR="00310034" w:rsidRPr="004D6E4D" w14:paraId="0B640BC4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3C484667" w:rsidR="00310034" w:rsidRPr="00730ECE" w:rsidRDefault="00320502" w:rsidP="009F4637">
            <w:pPr>
              <w:ind w:right="78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i/>
                <w:iCs/>
                <w:sz w:val="20"/>
              </w:rPr>
              <w:t>ADQUISICIÓN INSUMOS DE LIBRERÍA</w:t>
            </w:r>
            <w:r w:rsidR="0083610A">
              <w:rPr>
                <w:rFonts w:cstheme="minorHAnsi"/>
                <w:b/>
                <w:i/>
                <w:iCs/>
                <w:sz w:val="20"/>
              </w:rPr>
              <w:t xml:space="preserve"> </w:t>
            </w:r>
            <w:r w:rsidR="008834AE">
              <w:rPr>
                <w:rFonts w:cstheme="minorHAnsi"/>
                <w:b/>
                <w:i/>
                <w:iCs/>
                <w:sz w:val="20"/>
              </w:rPr>
              <w:t>– SEGUNDO LLAMADO</w:t>
            </w:r>
          </w:p>
        </w:tc>
      </w:tr>
      <w:tr w:rsidR="00310034" w:rsidRPr="004D6E4D" w14:paraId="50C60766" w14:textId="77777777" w:rsidTr="00DA3A80">
        <w:trPr>
          <w:trHeight w:val="61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4F2BFAD7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Comodoro Martín Rivadavia 1151, C.A.B.A.</w:t>
            </w:r>
          </w:p>
        </w:tc>
      </w:tr>
      <w:tr w:rsidR="00310034" w:rsidRPr="004D6E4D" w14:paraId="4615030C" w14:textId="77777777" w:rsidTr="00DA3A80">
        <w:trPr>
          <w:trHeight w:val="381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DA3A80">
        <w:trPr>
          <w:trHeight w:val="610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310034" w:rsidRPr="004D6E4D" w14:paraId="328BB5B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2963" w14:textId="77777777" w:rsidR="00320502" w:rsidRPr="001C6265" w:rsidRDefault="00320502" w:rsidP="00320502">
            <w:pPr>
              <w:tabs>
                <w:tab w:val="left" w:pos="1276"/>
              </w:tabs>
              <w:spacing w:before="6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1C6265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ESPECIFICACIONES TÉCNICAS</w:t>
            </w:r>
          </w:p>
          <w:p w14:paraId="0DA5B15B" w14:textId="77777777" w:rsidR="00320502" w:rsidRPr="001C6265" w:rsidRDefault="00320502" w:rsidP="00320502">
            <w:pPr>
              <w:tabs>
                <w:tab w:val="left" w:pos="1276"/>
              </w:tabs>
              <w:spacing w:before="6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891A33D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b/>
                <w:sz w:val="22"/>
                <w:szCs w:val="22"/>
              </w:rPr>
              <w:t>OBJETO DE LA CONTRATACIÓN:</w:t>
            </w:r>
          </w:p>
          <w:p w14:paraId="763010F5" w14:textId="77777777" w:rsidR="00320502" w:rsidRPr="001C6265" w:rsidRDefault="00320502" w:rsidP="00320502">
            <w:pPr>
              <w:numPr>
                <w:ilvl w:val="0"/>
                <w:numId w:val="4"/>
              </w:num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Los bienes requeridos deberán ser de primera calidad, nuevos y sin uso, respetando la cantidad, calidad y tamaño.</w:t>
            </w:r>
          </w:p>
          <w:p w14:paraId="2D0770E1" w14:textId="77777777" w:rsidR="00320502" w:rsidRPr="001C6265" w:rsidRDefault="00320502" w:rsidP="00320502">
            <w:pPr>
              <w:numPr>
                <w:ilvl w:val="0"/>
                <w:numId w:val="4"/>
              </w:num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Los elementos deberán ser productos legítimos de fábrica, cerrados en su blíster y caja de origen, y no se aceptarán productos de marca alternativa, reciclados o remanufacturados.</w:t>
            </w:r>
          </w:p>
          <w:p w14:paraId="1182348B" w14:textId="77777777" w:rsidR="00320502" w:rsidRPr="001C6265" w:rsidRDefault="00320502" w:rsidP="00320502">
            <w:pPr>
              <w:numPr>
                <w:ilvl w:val="0"/>
                <w:numId w:val="4"/>
              </w:num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Los oferentes debe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rán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 consignar en su oferta la marca de los productos ofrecidos, en forma clara y legible en el Formulario de Cotización adjunto o en uno propio, con la mayor descripción posible.</w:t>
            </w:r>
          </w:p>
          <w:p w14:paraId="4B2672F1" w14:textId="77777777" w:rsidR="00320502" w:rsidRPr="001C6265" w:rsidRDefault="00320502" w:rsidP="00320502">
            <w:pPr>
              <w:numPr>
                <w:ilvl w:val="0"/>
                <w:numId w:val="4"/>
              </w:num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Lugar, descripción y entrega de mercadería:</w:t>
            </w:r>
          </w:p>
          <w:p w14:paraId="1D14551B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11A036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La adjudicataria deberá realizar la distribución de la mercadería que será transportada hasta el lugar indicado, viaje por cuenta y orden del proveedor por lo cual es de su responsabilidad el flete, carga y descarga con todos los seguros al día en especial ART.</w:t>
            </w:r>
          </w:p>
          <w:p w14:paraId="2F3C0252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spacing w:after="240"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Asimismo, se deberá dejar como comprobante el remito triplicado, debiendo entregarse en la oficina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la Gerencia de Servicios generales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. No se aceptarán tachaduras ni enmiendas que no estén debidamente salvadas por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la persona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 Responsable de la recepción de la mercadería.</w:t>
            </w:r>
          </w:p>
          <w:p w14:paraId="2C31E14D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El control de cantidad y calidad de la mercadería se realizará en el lugar de recepción detallado. La falta de entrega de la mercadería en fecha, hora y condiciones establecidas dará lugar al labrado de un acta donde se dejará constancia de ese incumplimiento, a fin de que se apliquen las sanciones establecidas en el presente pliego.</w:t>
            </w:r>
          </w:p>
          <w:p w14:paraId="109D14D4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spacing w:before="240" w:after="240"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Sin perjuicio del inciso anterior, el adjudicatario se obliga a reponer dentro de un plazo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48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 hs. hábiles la partida que no sea recibida por no encontrarse dentro de las especificaciones exigidas.</w:t>
            </w:r>
          </w:p>
          <w:tbl>
            <w:tblPr>
              <w:tblW w:w="9833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97"/>
              <w:gridCol w:w="1532"/>
              <w:gridCol w:w="1068"/>
            </w:tblGrid>
            <w:tr w:rsidR="00320502" w:rsidRPr="007D06A7" w14:paraId="464C0D58" w14:textId="77777777" w:rsidTr="009A7E34">
              <w:trPr>
                <w:trHeight w:val="825"/>
              </w:trPr>
              <w:tc>
                <w:tcPr>
                  <w:tcW w:w="7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4B1E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  <w:t>DESCRIPCIÓN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AB1AF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  <w:t>UNIDAD DE MEDIDA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F3F4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s-AR" w:eastAsia="es-AR"/>
                    </w:rPr>
                    <w:t>CANTIDAD</w:t>
                  </w:r>
                </w:p>
              </w:tc>
            </w:tr>
            <w:tr w:rsidR="00320502" w:rsidRPr="007D06A7" w14:paraId="0C9D964E" w14:textId="77777777" w:rsidTr="009A7E34">
              <w:trPr>
                <w:trHeight w:val="45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8B9ED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Abrochadora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p/broches </w:t>
                  </w: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24/6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. Tipo pinza. Profundidad de abrochado máxima aproximada 63 mm.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1B03B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2C072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3</w:t>
                  </w: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0</w:t>
                  </w:r>
                </w:p>
              </w:tc>
            </w:tr>
            <w:tr w:rsidR="00320502" w:rsidRPr="007D06A7" w14:paraId="5FFB63E3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BED5B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Bolígrafos tipo Bic redondo negro punta media 1 mm. Por unidad.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D6652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B1C58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120</w:t>
                  </w:r>
                </w:p>
              </w:tc>
            </w:tr>
            <w:tr w:rsidR="00320502" w:rsidRPr="007D06A7" w14:paraId="0B6F8A09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3E87C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Bolígrafos tipo Bic redondo azul punta media 1 mm. Por unidad.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AC1E7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D8120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23B0AB1F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33D7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Cinta scotch tamaño aprox. 12 mm x 33 mts. Por unidad.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49E44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86468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50</w:t>
                  </w:r>
                </w:p>
              </w:tc>
            </w:tr>
            <w:tr w:rsidR="00320502" w:rsidRPr="007D06A7" w14:paraId="1645E2D9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186B9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Cuadernos con espiral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. R</w:t>
                  </w: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ayado. Medida: 160 x 210 mm. Por unidad.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A4578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7D367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29E16B88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C5CCD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Ganchitos para abrochadora medida 24/6 o 21/6. Caja por 1000 ganchitos.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0E043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86898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50</w:t>
                  </w:r>
                </w:p>
              </w:tc>
            </w:tr>
            <w:tr w:rsidR="00320502" w:rsidRPr="007D06A7" w14:paraId="6EBBE01E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711DA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Lápiz de grafito tipo Faber.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4C30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B5795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36</w:t>
                  </w:r>
                </w:p>
              </w:tc>
            </w:tr>
            <w:tr w:rsidR="00320502" w:rsidRPr="007D06A7" w14:paraId="5EE98813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1DBCE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Regla. Largo 30 cm. Material acrílico.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A3FE2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196F7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20</w:t>
                  </w:r>
                </w:p>
              </w:tc>
            </w:tr>
            <w:tr w:rsidR="00320502" w:rsidRPr="007D06A7" w14:paraId="506FD847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34F7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Resaltador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amarillo</w:t>
                  </w: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 Punta biselada. Trazo grueso.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ACF6F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497C9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150</w:t>
                  </w:r>
                </w:p>
              </w:tc>
            </w:tr>
            <w:tr w:rsidR="00320502" w:rsidRPr="007D06A7" w14:paraId="5A6F6C14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908F6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Resaltador rosa-fucsia. Punta biselada. Trazo grueso.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69B828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CABADB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4EA3F800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2134E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Resaltador verde.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 Punta biselada. Trazo grueso.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B8196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720D9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4D438D47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6E09AC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Resaltador celeste. Punta biselada. Trazo grueso.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75ADA7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93B2EA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278F2A97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FC791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Resaltador naranja. Punta biselada. Trazo grueso.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7D94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8075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100</w:t>
                  </w:r>
                </w:p>
              </w:tc>
            </w:tr>
            <w:tr w:rsidR="00320502" w:rsidRPr="007D06A7" w14:paraId="74ECCF50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1B859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Tijera. Largo aproximado 17 cm. Material de la hoja acero inoxidable.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A11D6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 w:rsidRPr="007D06A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B20FA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10</w:t>
                  </w:r>
                </w:p>
              </w:tc>
            </w:tr>
            <w:tr w:rsidR="00320502" w:rsidRPr="007D06A7" w14:paraId="14E8D25C" w14:textId="77777777" w:rsidTr="009A7E34">
              <w:trPr>
                <w:trHeight w:val="420"/>
              </w:trPr>
              <w:tc>
                <w:tcPr>
                  <w:tcW w:w="7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A2E9E" w14:textId="77777777" w:rsidR="00320502" w:rsidRPr="007D06A7" w:rsidRDefault="00320502" w:rsidP="00320502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 xml:space="preserve">Resmas hoja A4. </w:t>
                  </w:r>
                  <w:r w:rsidRPr="00F240E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500 hojas c/resma. Tamaño A4 de 80grs/mt2. Primera marca. Color Blanco. Debe tener certificado libre de cloro FSC.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B354C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Unidad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86C8A" w14:textId="77777777" w:rsidR="00320502" w:rsidRPr="007D06A7" w:rsidRDefault="00320502" w:rsidP="00320502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s-AR" w:eastAsia="es-AR"/>
                    </w:rPr>
                    <w:t>400</w:t>
                  </w:r>
                </w:p>
              </w:tc>
            </w:tr>
          </w:tbl>
          <w:p w14:paraId="42DAE04C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61DBAB62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14:paraId="434ABE65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b/>
                <w:sz w:val="22"/>
                <w:szCs w:val="22"/>
              </w:rPr>
              <w:t>REQUISITO</w:t>
            </w:r>
          </w:p>
          <w:p w14:paraId="257702D5" w14:textId="77777777" w:rsidR="00320502" w:rsidRPr="008834AE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834AE">
              <w:rPr>
                <w:rFonts w:asciiTheme="majorHAnsi" w:hAnsiTheme="majorHAnsi" w:cstheme="majorHAnsi"/>
                <w:b/>
                <w:sz w:val="22"/>
                <w:szCs w:val="22"/>
              </w:rPr>
              <w:t>En forma conjunta a la cotización el oferente deberá presentar una muestra de los productos.</w:t>
            </w:r>
          </w:p>
          <w:p w14:paraId="61B46C8F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1B59937" w14:textId="77777777" w:rsidR="00320502" w:rsidRPr="00D27F40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27F40">
              <w:rPr>
                <w:rFonts w:asciiTheme="majorHAnsi" w:hAnsiTheme="majorHAnsi" w:cstheme="majorHAnsi"/>
                <w:b/>
                <w:sz w:val="22"/>
                <w:szCs w:val="22"/>
              </w:rPr>
              <w:t>CONTACTO</w:t>
            </w:r>
          </w:p>
          <w:p w14:paraId="0EC3C912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El mail de contacto y envío de factura es </w:t>
            </w:r>
            <w:r w:rsidRPr="00722947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infraestructura@educar.gob.ar</w:t>
            </w:r>
          </w:p>
          <w:p w14:paraId="08057535" w14:textId="745EC32C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2726B36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46E3889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PLAZO DE ENTREGA:</w:t>
            </w:r>
          </w:p>
          <w:p w14:paraId="237BC826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10 días corridos desde la notificación de la Orden de Compra.</w:t>
            </w:r>
          </w:p>
          <w:p w14:paraId="5EBA0E41" w14:textId="77777777" w:rsidR="00320502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C1B326" w14:textId="77777777" w:rsidR="00320502" w:rsidRPr="00D27F40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D27F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LUGAR DE ENTREGA</w:t>
            </w:r>
          </w:p>
          <w:p w14:paraId="7C0282FB" w14:textId="77777777" w:rsidR="00320502" w:rsidRPr="001C6265" w:rsidRDefault="00320502" w:rsidP="00320502">
            <w:pPr>
              <w:tabs>
                <w:tab w:val="left" w:leader="dot" w:pos="6804"/>
                <w:tab w:val="left" w:leader="dot" w:pos="7938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La empresa adjudicataria deberá entregar la totalidad de la mercadería, dentro del horario de 10 a 13 hs. y 15 a 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 xml:space="preserve"> hs. en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EDUC.AR sede Av. Comodoro Martín Rivadavia 1151</w:t>
            </w:r>
            <w:r w:rsidRPr="001C6265">
              <w:rPr>
                <w:rFonts w:asciiTheme="majorHAnsi" w:hAnsiTheme="majorHAnsi" w:cstheme="majorHAnsi"/>
                <w:sz w:val="22"/>
                <w:szCs w:val="22"/>
              </w:rPr>
              <w:t>, Ciudad Autónoma de Buenos Aires.</w:t>
            </w:r>
          </w:p>
          <w:p w14:paraId="23B6B007" w14:textId="77777777" w:rsidR="00310034" w:rsidRPr="00D036F8" w:rsidRDefault="00310034" w:rsidP="00DA3A80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DA3A80" w:rsidRPr="004D6E4D" w14:paraId="00D7B657" w14:textId="77777777" w:rsidTr="00DA3A80">
        <w:trPr>
          <w:trHeight w:val="381"/>
          <w:jc w:val="center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F4EC" w14:textId="77777777" w:rsidR="00DA3A80" w:rsidRDefault="00DA3A80" w:rsidP="00DA3A80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1D8B032E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83610A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8834A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– SEGUNDO LLAMADO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1D493FF7" w:rsidR="00310034" w:rsidRPr="00880898" w:rsidRDefault="00557C3B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ABROCHADORA 24/6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4AB1AA94" w:rsidR="00310034" w:rsidRPr="0089344A" w:rsidRDefault="00557C3B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1BD4527" w:rsidR="00310034" w:rsidRPr="0089344A" w:rsidRDefault="00557C3B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41094AC2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A4C" w14:textId="70BA0159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1A0" w14:textId="3115C6CA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BOLIGRAFOS DE TINTA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NEGRO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CB4" w14:textId="20499EF5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93FE" w14:textId="6E5432A9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76B9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964A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0564165C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3D3" w14:textId="2AD29EDB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D886" w14:textId="33C341DE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BOLIGRAFOS DE TINTA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AZUL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279" w14:textId="4363EF6D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94F9" w14:textId="65B64DFF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E634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93F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7645D99B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797" w14:textId="6D250435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2A9" w14:textId="2F1A4954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CINTA ADHESIVA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48F7" w14:textId="6BE4FAF1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EEB7" w14:textId="7ADE72C2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CB27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8DDB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2C073E61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49B" w14:textId="401F5E7D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D95" w14:textId="1E0E8BEA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CUADERNO C/ESP RAY 16 X 21 CM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CDB7" w14:textId="4A7BE14B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E20" w14:textId="5819B95E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17C0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10B2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1BB5AF3E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56B" w14:textId="24109C04" w:rsidR="00557C3B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6443" w14:textId="5ECDF3CB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GANCHOS MEDIDA 24/6 (CAJA)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4B0F" w14:textId="0D7EC9E6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6DCA" w14:textId="2356D9EE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B71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3799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33470C0B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568" w14:textId="2C3E0BAA" w:rsidR="00557C3B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994" w14:textId="330B97DE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LAPIZ GRAFITO TIPO FABER B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38CF" w14:textId="54143340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5BC1" w14:textId="71544C0F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CD02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B406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45E3EF19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1DC" w14:textId="639A1E68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A0B6" w14:textId="3266F682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REGLA 30 CM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D27" w14:textId="25FF0F05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EC23" w14:textId="1CF6B732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D2AE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407E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1D155EFD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620" w14:textId="0BE69D41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1ED" w14:textId="63AB018A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RESALTADOR AMARILLO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04F1" w14:textId="44EFF474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7534" w14:textId="2043803A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3C0F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E223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337FA4FC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087" w14:textId="7D25E9B4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03F" w14:textId="6EFC6491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RESALTADOR ROSA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8304" w14:textId="4481E47A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F7C9" w14:textId="611512A4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B0DD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5C4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61CE3693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084" w14:textId="3A50A0C4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A13" w14:textId="3410438E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RESALTADOR VERDE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7BE" w14:textId="4626EA19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E986" w14:textId="46EE490F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87AD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FB6B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4B79F22B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95EB" w14:textId="6A5D6E4A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D7D" w14:textId="33CF5583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RESALTADOR CELESTE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FB70" w14:textId="5DEF8963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83D" w14:textId="46D6060F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89C0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706D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6A0F1659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DA9" w14:textId="15531C19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C86" w14:textId="10DBA43C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RESALTADOR NARANJA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0B88" w14:textId="49767FAB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4BDA" w14:textId="5DE50E53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D62B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FFB8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02CCCCEE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CA7" w14:textId="61D48483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522" w14:textId="55384A4B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TIJERAS DE CORTE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879" w14:textId="620CA1C1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975C" w14:textId="7E06DB2B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7040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1A32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2B1E461D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4AF" w14:textId="7C4A404C" w:rsidR="00557C3B" w:rsidRPr="0089344A" w:rsidRDefault="00557C3B" w:rsidP="00557C3B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DD2" w14:textId="6C20B8AD" w:rsidR="00557C3B" w:rsidRDefault="00557C3B" w:rsidP="00557C3B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557C3B">
              <w:rPr>
                <w:rFonts w:cstheme="minorHAnsi"/>
                <w:sz w:val="18"/>
                <w:szCs w:val="18"/>
                <w:lang w:eastAsia="es-AR"/>
              </w:rPr>
              <w:t>RESMA A4</w:t>
            </w:r>
            <w:r>
              <w:rPr>
                <w:rFonts w:cstheme="minorHAnsi"/>
                <w:sz w:val="18"/>
                <w:szCs w:val="18"/>
                <w:lang w:eastAsia="es-AR"/>
              </w:rPr>
              <w:t xml:space="preserve">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5FBC" w14:textId="19A652C4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7F19" w14:textId="7FC49B3F" w:rsidR="00557C3B" w:rsidRDefault="00557C3B" w:rsidP="00557C3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A6B8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302" w14:textId="77777777" w:rsidR="00557C3B" w:rsidRPr="0089344A" w:rsidRDefault="00557C3B" w:rsidP="00557C3B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557C3B" w:rsidRDefault="00557C3B" w:rsidP="00557C3B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557C3B" w:rsidRPr="00F67D7D" w:rsidRDefault="00557C3B" w:rsidP="00557C3B">
            <w:pPr>
              <w:rPr>
                <w:sz w:val="18"/>
                <w:szCs w:val="18"/>
              </w:rPr>
            </w:pPr>
          </w:p>
          <w:p w14:paraId="155E29BD" w14:textId="77777777" w:rsidR="00557C3B" w:rsidRPr="00F67D7D" w:rsidRDefault="00557C3B" w:rsidP="00557C3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557C3B" w:rsidRPr="00770247" w:rsidRDefault="00557C3B" w:rsidP="00557C3B"/>
        </w:tc>
        <w:tc>
          <w:tcPr>
            <w:tcW w:w="734" w:type="dxa"/>
            <w:vAlign w:val="center"/>
          </w:tcPr>
          <w:p w14:paraId="73BF9BFC" w14:textId="77777777" w:rsidR="00557C3B" w:rsidRDefault="00557C3B" w:rsidP="00557C3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557C3B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1807D46" w:rsidR="00557C3B" w:rsidRPr="00F67D7D" w:rsidRDefault="00557C3B" w:rsidP="00557C3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557C3B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557C3B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557C3B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57C3B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557C3B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57C3B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557C3B" w:rsidRPr="00F67D7D" w:rsidRDefault="00557C3B" w:rsidP="00557C3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0"/>
      <w:footerReference w:type="even" r:id="rId11"/>
      <w:footerReference w:type="defaul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5F85" w14:textId="77777777" w:rsidR="009A523E" w:rsidRDefault="009A523E" w:rsidP="0060495E">
      <w:r>
        <w:separator/>
      </w:r>
    </w:p>
  </w:endnote>
  <w:endnote w:type="continuationSeparator" w:id="0">
    <w:p w14:paraId="7DE3F633" w14:textId="77777777" w:rsidR="009A523E" w:rsidRDefault="009A523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4E78" w14:textId="77777777" w:rsidR="009A523E" w:rsidRDefault="009A523E" w:rsidP="0060495E">
      <w:r>
        <w:separator/>
      </w:r>
    </w:p>
  </w:footnote>
  <w:footnote w:type="continuationSeparator" w:id="0">
    <w:p w14:paraId="2F55F404" w14:textId="77777777" w:rsidR="009A523E" w:rsidRDefault="009A523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1B433C"/>
    <w:multiLevelType w:val="hybridMultilevel"/>
    <w:tmpl w:val="29B0AA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90613"/>
    <w:rsid w:val="001C6080"/>
    <w:rsid w:val="001E2F67"/>
    <w:rsid w:val="001E3171"/>
    <w:rsid w:val="001F451A"/>
    <w:rsid w:val="00214B4A"/>
    <w:rsid w:val="00247FA1"/>
    <w:rsid w:val="00254F28"/>
    <w:rsid w:val="00256713"/>
    <w:rsid w:val="002A4F23"/>
    <w:rsid w:val="002D1E9B"/>
    <w:rsid w:val="002D777C"/>
    <w:rsid w:val="00310034"/>
    <w:rsid w:val="00311391"/>
    <w:rsid w:val="00320502"/>
    <w:rsid w:val="0034239D"/>
    <w:rsid w:val="00364B5D"/>
    <w:rsid w:val="003D0FE9"/>
    <w:rsid w:val="003D3C68"/>
    <w:rsid w:val="00407E10"/>
    <w:rsid w:val="004212A7"/>
    <w:rsid w:val="00421B88"/>
    <w:rsid w:val="00426742"/>
    <w:rsid w:val="00495C6A"/>
    <w:rsid w:val="004F2F64"/>
    <w:rsid w:val="00545C21"/>
    <w:rsid w:val="0055531E"/>
    <w:rsid w:val="00557C3B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3610A"/>
    <w:rsid w:val="008442A5"/>
    <w:rsid w:val="008834AE"/>
    <w:rsid w:val="008B3C8A"/>
    <w:rsid w:val="008C22B5"/>
    <w:rsid w:val="00934D7A"/>
    <w:rsid w:val="00965C9E"/>
    <w:rsid w:val="009A523E"/>
    <w:rsid w:val="00A27DD1"/>
    <w:rsid w:val="00A5734F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C3369"/>
    <w:rsid w:val="00BF3BFB"/>
    <w:rsid w:val="00C16FED"/>
    <w:rsid w:val="00C33D9F"/>
    <w:rsid w:val="00C96130"/>
    <w:rsid w:val="00CA22A7"/>
    <w:rsid w:val="00CB0BF9"/>
    <w:rsid w:val="00CB606F"/>
    <w:rsid w:val="00CC2320"/>
    <w:rsid w:val="00D315C9"/>
    <w:rsid w:val="00D56E6D"/>
    <w:rsid w:val="00D86E20"/>
    <w:rsid w:val="00DA3A8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1E2F67"/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2F67"/>
    <w:pPr>
      <w:widowControl w:val="0"/>
      <w:suppressAutoHyphens/>
    </w:pPr>
    <w:rPr>
      <w:rFonts w:eastAsia="SimSun"/>
      <w:sz w:val="22"/>
      <w:szCs w:val="22"/>
      <w:lang w:val="en-US"/>
    </w:rPr>
  </w:style>
  <w:style w:type="paragraph" w:customStyle="1" w:styleId="NormalETAP2000">
    <w:name w:val="Normal ETAP 2000"/>
    <w:basedOn w:val="Normal"/>
    <w:rsid w:val="001E2F67"/>
    <w:pPr>
      <w:spacing w:before="60"/>
      <w:ind w:firstLine="709"/>
      <w:jc w:val="both"/>
    </w:pPr>
    <w:rPr>
      <w:rFonts w:ascii="Arial Narrow" w:eastAsia="Times New Roman" w:hAnsi="Arial Narrow" w:cs="Times New Roman"/>
      <w:sz w:val="22"/>
      <w:szCs w:val="20"/>
      <w:lang w:val="es-ES" w:eastAsia="es-ES"/>
    </w:rPr>
  </w:style>
  <w:style w:type="paragraph" w:customStyle="1" w:styleId="Ttulo3ETAP2000">
    <w:name w:val="Título 3 ETAP 2000"/>
    <w:basedOn w:val="Ttulo3"/>
    <w:rsid w:val="001E2F67"/>
    <w:pPr>
      <w:keepLines w:val="0"/>
      <w:spacing w:before="120" w:after="60"/>
      <w:ind w:firstLine="567"/>
      <w:jc w:val="both"/>
    </w:pPr>
    <w:rPr>
      <w:rFonts w:ascii="Arial Narrow" w:eastAsia="Times New Roman" w:hAnsi="Arial Narrow" w:cs="Times New Roman"/>
      <w:b/>
      <w:color w:val="auto"/>
      <w:sz w:val="26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01">
    <w:name w:val="fontstyle01"/>
    <w:basedOn w:val="Fuentedeprrafopredeter"/>
    <w:rsid w:val="00557C3B"/>
    <w:rPr>
      <w:rFonts w:ascii="CIDFont+F3" w:hAnsi="CIDFont+F3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1759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14</cp:revision>
  <cp:lastPrinted>2020-11-27T21:31:00Z</cp:lastPrinted>
  <dcterms:created xsi:type="dcterms:W3CDTF">2022-02-04T18:17:00Z</dcterms:created>
  <dcterms:modified xsi:type="dcterms:W3CDTF">2022-04-28T18:15:00Z</dcterms:modified>
</cp:coreProperties>
</file>