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0774" w14:textId="2D873A33" w:rsidR="00AC35FE" w:rsidRPr="00AC35FE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 xml:space="preserve">La presente Contratación Directa - </w:t>
      </w:r>
      <w:r w:rsidRPr="0053166D">
        <w:rPr>
          <w:rFonts w:asciiTheme="majorHAnsi" w:hAnsiTheme="majorHAnsi" w:cstheme="majorHAnsi"/>
          <w:bCs/>
          <w:sz w:val="18"/>
          <w:szCs w:val="18"/>
          <w:u w:val="single"/>
        </w:rPr>
        <w:t>Trámite simplificado</w:t>
      </w:r>
      <w:r w:rsidRPr="00AC35FE">
        <w:rPr>
          <w:rFonts w:asciiTheme="majorHAnsi" w:hAnsiTheme="majorHAnsi" w:cstheme="majorHAnsi"/>
          <w:bCs/>
          <w:sz w:val="18"/>
          <w:szCs w:val="18"/>
        </w:rPr>
        <w:t xml:space="preserve"> - tiene por objeto la adquisición de los bienes y/o servicios</w:t>
      </w:r>
    </w:p>
    <w:p w14:paraId="57A3CF5F" w14:textId="07B73FE3" w:rsid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descriptos en el ANEXO I, y se llevará adelante según los plazos de entrega y en las condiciones allí dispuestas.</w:t>
      </w:r>
    </w:p>
    <w:p w14:paraId="42574E5F" w14:textId="1F9B40A1" w:rsidR="00AC35FE" w:rsidRPr="00AC35FE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 xml:space="preserve">Deberá cotizarse utilizando el ANEXO II, planilla de cotización </w:t>
      </w:r>
      <w:r w:rsidRPr="0053166D">
        <w:rPr>
          <w:rFonts w:asciiTheme="majorHAnsi" w:hAnsiTheme="majorHAnsi" w:cstheme="majorHAnsi"/>
          <w:bCs/>
          <w:sz w:val="18"/>
          <w:szCs w:val="18"/>
          <w:u w:val="single"/>
        </w:rPr>
        <w:t>sin excepción</w:t>
      </w:r>
      <w:r w:rsidRPr="00AC35FE">
        <w:rPr>
          <w:rFonts w:asciiTheme="majorHAnsi" w:hAnsiTheme="majorHAnsi" w:cstheme="majorHAnsi"/>
          <w:bCs/>
          <w:sz w:val="18"/>
          <w:szCs w:val="18"/>
        </w:rPr>
        <w:t>. Todos los precios cotizados se consignarán</w:t>
      </w:r>
    </w:p>
    <w:p w14:paraId="2A666AB4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en la moneda indicada en el mencionado anexo, incluyendo el Impuesto al Valor Agregado (IVA), y completando la</w:t>
      </w:r>
    </w:p>
    <w:p w14:paraId="36184D37" w14:textId="4488B7C8" w:rsid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información solicitada.</w:t>
      </w:r>
    </w:p>
    <w:p w14:paraId="69985591" w14:textId="141792BD" w:rsidR="008026A7" w:rsidRDefault="008026A7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8026A7">
        <w:rPr>
          <w:rFonts w:asciiTheme="majorHAnsi" w:hAnsiTheme="majorHAnsi" w:cstheme="majorHAnsi"/>
          <w:bCs/>
          <w:sz w:val="18"/>
          <w:szCs w:val="18"/>
        </w:rPr>
        <w:t xml:space="preserve">Incumplimiento tributario - </w:t>
      </w:r>
      <w:r w:rsidRPr="008026A7">
        <w:rPr>
          <w:rFonts w:asciiTheme="majorHAnsi" w:hAnsiTheme="majorHAnsi" w:cstheme="majorHAnsi"/>
          <w:bCs/>
          <w:sz w:val="18"/>
          <w:szCs w:val="18"/>
          <w:u w:val="single"/>
        </w:rPr>
        <w:t>Deberá enviar el print de pantalla del Estado de Cumplimiento del Contribuyente.</w:t>
      </w:r>
      <w:r w:rsidRPr="008026A7">
        <w:rPr>
          <w:rFonts w:asciiTheme="majorHAnsi" w:hAnsiTheme="majorHAnsi" w:cstheme="majorHAnsi"/>
          <w:bCs/>
          <w:sz w:val="18"/>
          <w:szCs w:val="18"/>
        </w:rPr>
        <w:t xml:space="preserve"> </w:t>
      </w:r>
    </w:p>
    <w:p w14:paraId="13C6C796" w14:textId="67652830" w:rsidR="008026A7" w:rsidRDefault="008026A7" w:rsidP="008026A7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8026A7">
        <w:rPr>
          <w:rFonts w:asciiTheme="majorHAnsi" w:hAnsiTheme="majorHAnsi" w:cstheme="majorHAnsi"/>
          <w:bCs/>
          <w:i/>
          <w:iCs/>
          <w:sz w:val="18"/>
          <w:szCs w:val="18"/>
        </w:rPr>
        <w:t>Detalle de deuda consolidada</w:t>
      </w:r>
      <w:r w:rsidRPr="008026A7">
        <w:rPr>
          <w:rFonts w:asciiTheme="majorHAnsi" w:hAnsiTheme="majorHAnsi" w:cstheme="majorHAnsi"/>
          <w:bCs/>
          <w:sz w:val="18"/>
          <w:szCs w:val="18"/>
        </w:rPr>
        <w:t xml:space="preserve">. El contribuyente podrá verificar su estado y obtener mayor información, ingresando al sitio web de AFIP con su clave fiscal, en Sistema de Cuentas Tributarias, en la opción “Detalle de Deuda Consolidada” y dentro de esta opción, el trámite “Consulta de deuda de proveedores del Estado” o podrá enviar el </w:t>
      </w:r>
      <w:r w:rsidRPr="008026A7">
        <w:rPr>
          <w:rFonts w:asciiTheme="majorHAnsi" w:hAnsiTheme="majorHAnsi" w:cstheme="majorHAnsi"/>
          <w:bCs/>
          <w:i/>
          <w:iCs/>
          <w:sz w:val="18"/>
          <w:szCs w:val="18"/>
        </w:rPr>
        <w:t>Certificado SIPER (AFIP)</w:t>
      </w:r>
      <w:r w:rsidRPr="008026A7">
        <w:rPr>
          <w:rFonts w:asciiTheme="majorHAnsi" w:hAnsiTheme="majorHAnsi" w:cstheme="majorHAnsi"/>
          <w:bCs/>
          <w:sz w:val="18"/>
          <w:szCs w:val="18"/>
        </w:rPr>
        <w:t xml:space="preserve"> con la categoría que le fue asignada, ingresando a http://www.afip.gob.ar a través del servicio “Sistema Registral” opción “Trámites/SIPER”, utilizando su Clave Fiscal</w:t>
      </w:r>
      <w:r>
        <w:rPr>
          <w:rFonts w:asciiTheme="majorHAnsi" w:hAnsiTheme="majorHAnsi" w:cstheme="majorHAnsi"/>
          <w:bCs/>
          <w:sz w:val="18"/>
          <w:szCs w:val="18"/>
        </w:rPr>
        <w:t>.</w:t>
      </w:r>
    </w:p>
    <w:p w14:paraId="1C229C76" w14:textId="76EA40D9" w:rsidR="00AC35FE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Constancia de Inscripción en AFIP vigente.</w:t>
      </w:r>
    </w:p>
    <w:p w14:paraId="76D91981" w14:textId="743AF4B8" w:rsidR="00AC35FE" w:rsidRPr="00AC35FE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Documentación general Persona Jurídica: Estatuto social y modificaciones. Sociedad Anónima: Acta de</w:t>
      </w:r>
    </w:p>
    <w:p w14:paraId="01B46460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Asamblea de designación de Directorio, Acta de Directorio con distribución de cargos, Sociedad de Responsabilidad</w:t>
      </w:r>
    </w:p>
    <w:p w14:paraId="007B69C1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Limitada: Designación de autoridades vigentes. Otras sociedades: presentar información equivalente para la Sociedad</w:t>
      </w:r>
    </w:p>
    <w:p w14:paraId="1994D168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Anónima. Copia del DNI del firmante. Poder especial para presentar ofertas en licitaciones (si actúa por apoderado) y en</w:t>
      </w:r>
    </w:p>
    <w:p w14:paraId="7D324768" w14:textId="56E79190" w:rsid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su caso el Poder general amplio de administración y disposición.</w:t>
      </w:r>
    </w:p>
    <w:p w14:paraId="0CEA5C8C" w14:textId="4E2FDA7C" w:rsidR="00AC35FE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Documentación general Persona Humana: Copia del DNI del Oferente.</w:t>
      </w:r>
    </w:p>
    <w:p w14:paraId="15ED24FA" w14:textId="73F39A99" w:rsidR="00AC35FE" w:rsidRPr="0053166D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/>
          <w:sz w:val="18"/>
          <w:szCs w:val="18"/>
        </w:rPr>
      </w:pPr>
      <w:r w:rsidRPr="0053166D">
        <w:rPr>
          <w:rFonts w:asciiTheme="majorHAnsi" w:hAnsiTheme="majorHAnsi" w:cstheme="majorHAnsi"/>
          <w:b/>
          <w:sz w:val="18"/>
          <w:szCs w:val="18"/>
        </w:rPr>
        <w:t>La presentación de la oferta significará por parte del Oferente la conformidad y aceptación de las cláusulas que rigen</w:t>
      </w:r>
    </w:p>
    <w:p w14:paraId="45B0548D" w14:textId="1BE47B7F" w:rsidR="00AC35FE" w:rsidRPr="0053166D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/>
          <w:sz w:val="18"/>
          <w:szCs w:val="18"/>
        </w:rPr>
      </w:pPr>
      <w:r w:rsidRPr="0053166D">
        <w:rPr>
          <w:rFonts w:asciiTheme="majorHAnsi" w:hAnsiTheme="majorHAnsi" w:cstheme="majorHAnsi"/>
          <w:b/>
          <w:sz w:val="18"/>
          <w:szCs w:val="18"/>
        </w:rPr>
        <w:t>la presente contratación y el Reglamento de Compras y Contrataciones de Educ.ar S.E. vigente.</w:t>
      </w:r>
    </w:p>
    <w:p w14:paraId="18A874E0" w14:textId="637ED67E" w:rsidR="00AC35FE" w:rsidRPr="00AC35FE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La oferta se mantendrá por siete (7) días hábiles, renovables automáticamente por períodos de siete (7) días hábiles,</w:t>
      </w:r>
    </w:p>
    <w:p w14:paraId="11986C13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salvo retracción de la oferta presentada con cuarenta y ocho (48) horas de antelación.</w:t>
      </w:r>
    </w:p>
    <w:p w14:paraId="1F76DF4F" w14:textId="13F783CE" w:rsidR="00AC35FE" w:rsidRPr="00AC35FE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El Adjudicatario tomará por su cuenta y a su costo todos los seguros que correspondan de acuerdo a la legislación nacional</w:t>
      </w:r>
    </w:p>
    <w:p w14:paraId="2E619B56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y de la Ciudad Autónoma de Buenos Aires y los mantendrá vigentes hasta la terminación de la prestación del servicio o</w:t>
      </w:r>
    </w:p>
    <w:p w14:paraId="71911093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entrega de los bienes. Especialmente el Adjudicatario deberá contar con cobertura de los riesgos de trabajos dentro de</w:t>
      </w:r>
    </w:p>
    <w:p w14:paraId="6535CB8A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los términos y alcances de la Ley Nº 24.557 (Ley de Riesgos de Trabajo) y con seguro de vida obligatorio en los términos</w:t>
      </w:r>
    </w:p>
    <w:p w14:paraId="5BCE5BF3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del decreto Nº 1567.</w:t>
      </w:r>
    </w:p>
    <w:p w14:paraId="16AA6BEC" w14:textId="19883C1F" w:rsidR="00AC35FE" w:rsidRPr="00AC35FE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La Certificación de los bienes y/o servicios entregados el Adjudicatario será emitida por la Comisión de Recepción</w:t>
      </w:r>
    </w:p>
    <w:p w14:paraId="22FAECC4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Definitiva con posterioridad a la prestación del servicio o entrega de los bienes en tiempo y forma solicitados. Cuando un</w:t>
      </w:r>
    </w:p>
    <w:p w14:paraId="0F59DF3E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bien resultare defectuoso, ya sea por fallas del material o de la ejecución, el Adjudicatario lo corregirá si es posible o, en</w:t>
      </w:r>
    </w:p>
    <w:p w14:paraId="05D5FE4E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caso contrario, lo desarmará y reconstruirá a su costa, sin que ello pueda justificar ampliación de plazo. Toda recepción</w:t>
      </w:r>
    </w:p>
    <w:p w14:paraId="7D89B353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parcial o total, de un bien o servicio, tendrá carácter provisional hasta tanto se emita el Certificado de Recepción</w:t>
      </w:r>
    </w:p>
    <w:p w14:paraId="26B171D0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Definitiva, firmado por la Comisión de Recepción Definitiva.</w:t>
      </w:r>
    </w:p>
    <w:p w14:paraId="57EA7A46" w14:textId="7059FFDB" w:rsidR="00AC35FE" w:rsidRPr="00543A68" w:rsidRDefault="00AC35FE" w:rsidP="009753FB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543A68">
        <w:rPr>
          <w:rFonts w:asciiTheme="majorHAnsi" w:hAnsiTheme="majorHAnsi" w:cstheme="majorHAnsi"/>
          <w:bCs/>
          <w:sz w:val="18"/>
          <w:szCs w:val="18"/>
        </w:rPr>
        <w:t>Las facturas deberán ser enviadas</w:t>
      </w:r>
      <w:r w:rsidR="00EE14E4">
        <w:rPr>
          <w:rFonts w:asciiTheme="majorHAnsi" w:hAnsiTheme="majorHAnsi" w:cstheme="majorHAnsi"/>
          <w:bCs/>
          <w:sz w:val="18"/>
          <w:szCs w:val="18"/>
        </w:rPr>
        <w:t>,</w:t>
      </w:r>
      <w:r w:rsidR="00543A68" w:rsidRPr="00543A68">
        <w:rPr>
          <w:rFonts w:asciiTheme="majorHAnsi" w:hAnsiTheme="majorHAnsi" w:cstheme="majorHAnsi"/>
          <w:bCs/>
          <w:sz w:val="18"/>
          <w:szCs w:val="18"/>
        </w:rPr>
        <w:t xml:space="preserve"> de acuerdo a las especificaciones técnicas</w:t>
      </w:r>
      <w:r w:rsidR="00EE14E4">
        <w:rPr>
          <w:rFonts w:asciiTheme="majorHAnsi" w:hAnsiTheme="majorHAnsi" w:cstheme="majorHAnsi"/>
          <w:bCs/>
          <w:sz w:val="18"/>
          <w:szCs w:val="18"/>
        </w:rPr>
        <w:t>,</w:t>
      </w:r>
      <w:r w:rsidRPr="00543A68">
        <w:rPr>
          <w:rFonts w:asciiTheme="majorHAnsi" w:hAnsiTheme="majorHAnsi" w:cstheme="majorHAnsi"/>
          <w:bCs/>
          <w:sz w:val="18"/>
          <w:szCs w:val="18"/>
        </w:rPr>
        <w:t xml:space="preserve"> por mail </w:t>
      </w:r>
      <w:r w:rsidRPr="00543A68">
        <w:rPr>
          <w:rFonts w:asciiTheme="majorHAnsi" w:hAnsiTheme="majorHAnsi" w:cstheme="majorHAnsi"/>
          <w:b/>
          <w:sz w:val="18"/>
          <w:szCs w:val="18"/>
        </w:rPr>
        <w:t>al área que requirió los bienes y/o servicios</w:t>
      </w:r>
      <w:r w:rsidRPr="00543A68">
        <w:rPr>
          <w:rFonts w:asciiTheme="majorHAnsi" w:hAnsiTheme="majorHAnsi" w:cstheme="majorHAnsi"/>
          <w:bCs/>
          <w:sz w:val="18"/>
          <w:szCs w:val="18"/>
        </w:rPr>
        <w:t xml:space="preserve">, en este caso </w:t>
      </w:r>
      <w:hyperlink r:id="rId7" w:history="1">
        <w:r w:rsidR="00C12132" w:rsidRPr="00543A68">
          <w:rPr>
            <w:rStyle w:val="Hipervnculo"/>
            <w:rFonts w:asciiTheme="majorHAnsi" w:hAnsiTheme="majorHAnsi" w:cstheme="majorHAnsi"/>
            <w:bCs/>
            <w:sz w:val="18"/>
            <w:szCs w:val="18"/>
          </w:rPr>
          <w:t>infraestructura@educar.gob.ar</w:t>
        </w:r>
      </w:hyperlink>
      <w:r w:rsidR="00FD45F0" w:rsidRPr="00543A68">
        <w:rPr>
          <w:rFonts w:asciiTheme="majorHAnsi" w:hAnsiTheme="majorHAnsi" w:cstheme="majorHAnsi"/>
          <w:bCs/>
          <w:sz w:val="18"/>
          <w:szCs w:val="18"/>
          <w:u w:val="single"/>
        </w:rPr>
        <w:t xml:space="preserve"> </w:t>
      </w:r>
      <w:r w:rsidRPr="00543A68">
        <w:rPr>
          <w:rFonts w:asciiTheme="majorHAnsi" w:hAnsiTheme="majorHAnsi" w:cstheme="majorHAnsi"/>
          <w:b/>
          <w:sz w:val="18"/>
          <w:szCs w:val="18"/>
        </w:rPr>
        <w:t>con copia</w:t>
      </w:r>
      <w:r w:rsidRPr="00543A68">
        <w:rPr>
          <w:rFonts w:asciiTheme="majorHAnsi" w:hAnsiTheme="majorHAnsi" w:cstheme="majorHAnsi"/>
          <w:bCs/>
          <w:sz w:val="18"/>
          <w:szCs w:val="18"/>
        </w:rPr>
        <w:t xml:space="preserve"> a </w:t>
      </w:r>
      <w:r w:rsidRPr="00543A68">
        <w:rPr>
          <w:rFonts w:asciiTheme="majorHAnsi" w:hAnsiTheme="majorHAnsi" w:cstheme="majorHAnsi"/>
          <w:bCs/>
          <w:sz w:val="18"/>
          <w:szCs w:val="18"/>
          <w:u w:val="single"/>
        </w:rPr>
        <w:t>facturacion@educar.gob.ar</w:t>
      </w:r>
      <w:r w:rsidRPr="00543A68">
        <w:rPr>
          <w:rFonts w:asciiTheme="majorHAnsi" w:hAnsiTheme="majorHAnsi" w:cstheme="majorHAnsi"/>
          <w:bCs/>
          <w:sz w:val="18"/>
          <w:szCs w:val="18"/>
        </w:rPr>
        <w:t>. Las facturas deberán ser emitidas observando</w:t>
      </w:r>
      <w:r w:rsidR="00543A68" w:rsidRPr="00543A6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543A68">
        <w:rPr>
          <w:rFonts w:asciiTheme="majorHAnsi" w:hAnsiTheme="majorHAnsi" w:cstheme="majorHAnsi"/>
          <w:bCs/>
          <w:sz w:val="18"/>
          <w:szCs w:val="18"/>
        </w:rPr>
        <w:t>los requisitos de la legislación vigente y volcando en las mismas los números de expediente y orden de compra emitida</w:t>
      </w:r>
      <w:r w:rsidR="00543A68" w:rsidRPr="00543A6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543A68">
        <w:rPr>
          <w:rFonts w:asciiTheme="majorHAnsi" w:hAnsiTheme="majorHAnsi" w:cstheme="majorHAnsi"/>
          <w:bCs/>
          <w:sz w:val="18"/>
          <w:szCs w:val="18"/>
        </w:rPr>
        <w:t>por Educ.ar S.E., sin excepción</w:t>
      </w:r>
    </w:p>
    <w:p w14:paraId="139EC29F" w14:textId="318ECE55" w:rsidR="00AC35FE" w:rsidRPr="00543A68" w:rsidRDefault="00AC35FE" w:rsidP="006838FC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543A68">
        <w:rPr>
          <w:rFonts w:asciiTheme="majorHAnsi" w:hAnsiTheme="majorHAnsi" w:cstheme="majorHAnsi"/>
          <w:bCs/>
          <w:sz w:val="18"/>
          <w:szCs w:val="18"/>
        </w:rPr>
        <w:t xml:space="preserve">El pago del precio pactado </w:t>
      </w:r>
      <w:r w:rsidR="00543A68">
        <w:rPr>
          <w:rFonts w:asciiTheme="majorHAnsi" w:hAnsiTheme="majorHAnsi" w:cstheme="majorHAnsi"/>
          <w:bCs/>
          <w:sz w:val="18"/>
          <w:szCs w:val="18"/>
        </w:rPr>
        <w:t xml:space="preserve">por el servicio </w:t>
      </w:r>
      <w:r w:rsidR="00EE14E4">
        <w:rPr>
          <w:rFonts w:asciiTheme="majorHAnsi" w:hAnsiTheme="majorHAnsi" w:cstheme="majorHAnsi"/>
          <w:bCs/>
          <w:sz w:val="18"/>
          <w:szCs w:val="18"/>
        </w:rPr>
        <w:t>requ</w:t>
      </w:r>
      <w:r w:rsidR="008532E9">
        <w:rPr>
          <w:rFonts w:asciiTheme="majorHAnsi" w:hAnsiTheme="majorHAnsi" w:cstheme="majorHAnsi"/>
          <w:bCs/>
          <w:sz w:val="18"/>
          <w:szCs w:val="18"/>
        </w:rPr>
        <w:t>e</w:t>
      </w:r>
      <w:r w:rsidR="00EE14E4">
        <w:rPr>
          <w:rFonts w:asciiTheme="majorHAnsi" w:hAnsiTheme="majorHAnsi" w:cstheme="majorHAnsi"/>
          <w:bCs/>
          <w:sz w:val="18"/>
          <w:szCs w:val="18"/>
        </w:rPr>
        <w:t>rido</w:t>
      </w:r>
      <w:r w:rsidR="00543A68">
        <w:rPr>
          <w:rFonts w:asciiTheme="majorHAnsi" w:hAnsiTheme="majorHAnsi" w:cstheme="majorHAnsi"/>
          <w:bCs/>
          <w:sz w:val="18"/>
          <w:szCs w:val="18"/>
        </w:rPr>
        <w:t>,</w:t>
      </w:r>
      <w:r w:rsidRPr="00543A68">
        <w:rPr>
          <w:rFonts w:asciiTheme="majorHAnsi" w:hAnsiTheme="majorHAnsi" w:cstheme="majorHAnsi"/>
          <w:bCs/>
          <w:sz w:val="18"/>
          <w:szCs w:val="18"/>
        </w:rPr>
        <w:t xml:space="preserve"> se realizará dentro de los 30 (treinta) días</w:t>
      </w:r>
      <w:r w:rsidR="00543A68" w:rsidRPr="00543A68">
        <w:rPr>
          <w:rFonts w:asciiTheme="majorHAnsi" w:hAnsiTheme="majorHAnsi" w:cstheme="majorHAnsi"/>
          <w:bCs/>
          <w:sz w:val="18"/>
          <w:szCs w:val="18"/>
        </w:rPr>
        <w:t xml:space="preserve"> de la presentación de la factura</w:t>
      </w:r>
      <w:r w:rsidRPr="00543A68">
        <w:rPr>
          <w:rFonts w:asciiTheme="majorHAnsi" w:hAnsiTheme="majorHAnsi" w:cstheme="majorHAnsi"/>
          <w:bCs/>
          <w:sz w:val="18"/>
          <w:szCs w:val="18"/>
        </w:rPr>
        <w:t xml:space="preserve">, </w:t>
      </w:r>
      <w:r w:rsidR="00543A68" w:rsidRPr="00543A68">
        <w:rPr>
          <w:rFonts w:asciiTheme="majorHAnsi" w:hAnsiTheme="majorHAnsi" w:cstheme="majorHAnsi"/>
          <w:bCs/>
          <w:sz w:val="18"/>
          <w:szCs w:val="18"/>
        </w:rPr>
        <w:t>previa conformidad</w:t>
      </w:r>
      <w:r w:rsidRPr="00543A6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543A68">
        <w:rPr>
          <w:rFonts w:asciiTheme="majorHAnsi" w:hAnsiTheme="majorHAnsi" w:cstheme="majorHAnsi"/>
          <w:bCs/>
          <w:sz w:val="18"/>
          <w:szCs w:val="18"/>
        </w:rPr>
        <w:t>por parte de</w:t>
      </w:r>
      <w:r w:rsidRPr="00543A68">
        <w:rPr>
          <w:rFonts w:asciiTheme="majorHAnsi" w:hAnsiTheme="majorHAnsi" w:cstheme="majorHAnsi"/>
          <w:bCs/>
          <w:sz w:val="18"/>
          <w:szCs w:val="18"/>
        </w:rPr>
        <w:t xml:space="preserve"> Educ.ar S.E.</w:t>
      </w:r>
    </w:p>
    <w:p w14:paraId="4C9CF7A5" w14:textId="3EDF2D0F" w:rsidR="00AC35FE" w:rsidRPr="00AC35FE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El pago será efectuado a través de transferencia bancaria a una cuenta declarada por el Adjudicatario o a través de la</w:t>
      </w:r>
    </w:p>
    <w:p w14:paraId="3CD56363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emisión de cheques cruzados a nombre del Adjudicatario, con la cláusula no a la orden. En caso de que el cheque sea</w:t>
      </w:r>
    </w:p>
    <w:p w14:paraId="61529CC3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lastRenderedPageBreak/>
        <w:t>retirado por una persona autorizada por el Adjudicatario, la misma deberá presentar la autorización expresa emitida por</w:t>
      </w:r>
    </w:p>
    <w:p w14:paraId="3954CFD7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el proveedor adjudicatario que identifique nombre, apellido y DNI.</w:t>
      </w:r>
    </w:p>
    <w:p w14:paraId="05B62D45" w14:textId="12D062A2" w:rsidR="00AC35FE" w:rsidRPr="00AC35FE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Educ.ar S.E. no autorizará ningún pago originado en la presente contratación cuando el Adjudicatario no se encuentre</w:t>
      </w:r>
    </w:p>
    <w:p w14:paraId="38F37274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inscripto ante la AFIP en la categoría correspondiente a sus ingresos, hasta tanto no se re-categorice según la normativa</w:t>
      </w:r>
    </w:p>
    <w:p w14:paraId="6E7AA36E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vigente, el plazo contractualmente previsto para el pago comenzará a computarse a partir de esta fecha.</w:t>
      </w:r>
    </w:p>
    <w:p w14:paraId="71DCA440" w14:textId="5F648D95" w:rsidR="00AC35FE" w:rsidRPr="00AC35FE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La Adjudicación será por renglón único o separado según lo que se establezca en el ANEXO II.</w:t>
      </w:r>
    </w:p>
    <w:p w14:paraId="0EC412F2" w14:textId="2F9877D4" w:rsidR="00AC35FE" w:rsidRPr="00AC35FE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El incumplimiento de las obligaciones contraídas por los oferentes y los adjudicatarios dará lugar a la aplicación de las</w:t>
      </w:r>
    </w:p>
    <w:p w14:paraId="1317799A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penalidades y sanciones fijadas en el Reglamento de Compras y Contrataciones vigente.</w:t>
      </w:r>
    </w:p>
    <w:p w14:paraId="06A0B874" w14:textId="0739CCAC" w:rsidR="00AC35FE" w:rsidRPr="00AC35FE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Educ.ar S.E. podrá dejar sin efecto el procedimiento de contratación en cualquier momento anterior al perfeccionamiento</w:t>
      </w:r>
    </w:p>
    <w:p w14:paraId="5ED0F3C2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del contrato, sin lugar a indemnización alguna en favor de los interesados, oferente o adjudicatarios.</w:t>
      </w:r>
    </w:p>
    <w:p w14:paraId="11244D78" w14:textId="4F6D8EFE" w:rsidR="00AC35FE" w:rsidRPr="00AC35FE" w:rsidRDefault="00AC35FE" w:rsidP="00891170">
      <w:pPr>
        <w:pStyle w:val="Prrafodelista"/>
        <w:numPr>
          <w:ilvl w:val="0"/>
          <w:numId w:val="9"/>
        </w:numPr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Para cualquier acción legal que la presente contratación pudiera dar lugar, las partes se someten a la jurisdicción de los</w:t>
      </w:r>
    </w:p>
    <w:p w14:paraId="38BCAEF7" w14:textId="77777777" w:rsidR="00AC35FE" w:rsidRPr="00AC35FE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Tribunales de la Justicia Nacional en lo contencioso Administrativo Federal, con expresa renuncia de otro fuero o</w:t>
      </w:r>
    </w:p>
    <w:p w14:paraId="7B907A4B" w14:textId="3A639BCD" w:rsidR="00162311" w:rsidRDefault="00AC35FE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  <w:r w:rsidRPr="00AC35FE">
        <w:rPr>
          <w:rFonts w:asciiTheme="majorHAnsi" w:hAnsiTheme="majorHAnsi" w:cstheme="majorHAnsi"/>
          <w:bCs/>
          <w:sz w:val="18"/>
          <w:szCs w:val="18"/>
        </w:rPr>
        <w:t>jurisdicción que pudiere corresponder.</w:t>
      </w:r>
    </w:p>
    <w:p w14:paraId="76EF1ABC" w14:textId="77777777" w:rsidR="00AF4C75" w:rsidRPr="004E1C65" w:rsidRDefault="00AF4C75" w:rsidP="00AF4C75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4E1C65">
        <w:rPr>
          <w:rFonts w:asciiTheme="majorHAnsi" w:hAnsiTheme="majorHAnsi" w:cstheme="majorHAnsi"/>
          <w:b/>
          <w:sz w:val="18"/>
          <w:szCs w:val="18"/>
          <w:u w:val="single"/>
        </w:rPr>
        <w:t>El oferente deberá acompañar junto con su propuesta lo solicitado en los puntos 3</w:t>
      </w:r>
      <w:r>
        <w:rPr>
          <w:rFonts w:asciiTheme="majorHAnsi" w:hAnsiTheme="majorHAnsi" w:cstheme="majorHAnsi"/>
          <w:b/>
          <w:sz w:val="18"/>
          <w:szCs w:val="18"/>
          <w:u w:val="single"/>
        </w:rPr>
        <w:t>)</w:t>
      </w:r>
      <w:r w:rsidRPr="004E1C65">
        <w:rPr>
          <w:rFonts w:asciiTheme="majorHAnsi" w:hAnsiTheme="majorHAnsi" w:cstheme="majorHAnsi"/>
          <w:b/>
          <w:sz w:val="18"/>
          <w:szCs w:val="18"/>
          <w:u w:val="single"/>
        </w:rPr>
        <w:t xml:space="preserve"> a 6</w:t>
      </w:r>
      <w:r>
        <w:rPr>
          <w:rFonts w:asciiTheme="majorHAnsi" w:hAnsiTheme="majorHAnsi" w:cstheme="majorHAnsi"/>
          <w:b/>
          <w:sz w:val="18"/>
          <w:szCs w:val="18"/>
          <w:u w:val="single"/>
        </w:rPr>
        <w:t>)</w:t>
      </w:r>
      <w:r w:rsidRPr="004E1C65">
        <w:rPr>
          <w:rFonts w:asciiTheme="majorHAnsi" w:hAnsiTheme="majorHAnsi" w:cstheme="majorHAnsi"/>
          <w:b/>
          <w:sz w:val="18"/>
          <w:szCs w:val="18"/>
          <w:u w:val="single"/>
        </w:rPr>
        <w:t xml:space="preserve"> de los presentes términos</w:t>
      </w:r>
      <w:r>
        <w:rPr>
          <w:rFonts w:asciiTheme="majorHAnsi" w:hAnsiTheme="majorHAnsi" w:cstheme="majorHAnsi"/>
          <w:b/>
          <w:sz w:val="18"/>
          <w:szCs w:val="18"/>
          <w:u w:val="single"/>
        </w:rPr>
        <w:t>.</w:t>
      </w:r>
    </w:p>
    <w:p w14:paraId="1A5CD89F" w14:textId="77777777" w:rsidR="00AF4C75" w:rsidRPr="00AC35FE" w:rsidRDefault="00AF4C75" w:rsidP="00891170">
      <w:pPr>
        <w:pStyle w:val="Prrafodelista"/>
        <w:spacing w:before="120" w:after="120" w:line="360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3B8B7131" w14:textId="6F82368C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71737937" w14:textId="75FE2398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31A87EB9" w14:textId="28124677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6026131A" w14:textId="2FB7BE6A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3710A68D" w14:textId="14D231FD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5ED46451" w14:textId="1519541D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07BCAA77" w14:textId="6BE4471B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2F88D9A2" w14:textId="3011FB63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3CE5CF25" w14:textId="57489189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16041F78" w14:textId="37380B3F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7C1442C1" w14:textId="3051E245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50624A28" w14:textId="65C3B93F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20A68220" w14:textId="2EDAD01B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1B6E646B" w14:textId="750F10B8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5E01575B" w14:textId="74812947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1A19863A" w14:textId="603F153E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6F1ED1DF" w14:textId="6CF5F846" w:rsidR="00AC35FE" w:rsidRDefault="00AC35FE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334274AA" w14:textId="17827281" w:rsidR="00891170" w:rsidRDefault="00891170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026F830D" w14:textId="0B034871" w:rsidR="00891170" w:rsidRDefault="00891170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17FECBCE" w14:textId="2F2009E0" w:rsidR="00891170" w:rsidRDefault="00891170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7B27A51F" w14:textId="75919DC4" w:rsidR="00373584" w:rsidRDefault="00373584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6E5E6E2C" w14:textId="77777777" w:rsidR="00373584" w:rsidRDefault="00373584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p w14:paraId="5C3F6055" w14:textId="065F86DE" w:rsidR="00891170" w:rsidRDefault="00891170" w:rsidP="00AC35FE">
      <w:pPr>
        <w:spacing w:before="120" w:after="120" w:line="276" w:lineRule="auto"/>
        <w:jc w:val="both"/>
        <w:outlineLvl w:val="0"/>
        <w:rPr>
          <w:rFonts w:asciiTheme="majorHAnsi" w:hAnsiTheme="majorHAnsi" w:cstheme="majorHAnsi"/>
          <w:bCs/>
          <w:sz w:val="18"/>
          <w:szCs w:val="18"/>
        </w:rPr>
      </w:pPr>
    </w:p>
    <w:tbl>
      <w:tblPr>
        <w:tblW w:w="91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2"/>
        <w:gridCol w:w="993"/>
        <w:gridCol w:w="568"/>
        <w:gridCol w:w="710"/>
        <w:gridCol w:w="425"/>
        <w:gridCol w:w="1420"/>
        <w:gridCol w:w="3127"/>
      </w:tblGrid>
      <w:tr w:rsidR="00162311" w:rsidRPr="00162311" w14:paraId="3CD8AA6D" w14:textId="77777777" w:rsidTr="00EF2E3C">
        <w:trPr>
          <w:trHeight w:val="381"/>
          <w:tblHeader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772B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Cs/>
                <w:sz w:val="18"/>
                <w:szCs w:val="18"/>
              </w:rPr>
              <w:lastRenderedPageBreak/>
              <w:br w:type="page"/>
            </w:r>
            <w:r w:rsidRPr="00162311">
              <w:rPr>
                <w:rFonts w:asciiTheme="majorHAnsi" w:hAnsiTheme="majorHAnsi" w:cstheme="majorHAnsi"/>
                <w:bCs/>
                <w:sz w:val="18"/>
                <w:szCs w:val="18"/>
              </w:rPr>
              <w:br w:type="page"/>
            </w:r>
            <w:r w:rsidRPr="001623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br w:type="page"/>
            </w: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 - ESPECIFICACIONES TÉCNICAS</w:t>
            </w:r>
          </w:p>
        </w:tc>
      </w:tr>
      <w:tr w:rsidR="00162311" w:rsidRPr="00162311" w14:paraId="2812D720" w14:textId="77777777" w:rsidTr="00EF2E3C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F089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Expediente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A8E9" w14:textId="0BCC71DD" w:rsidR="00162311" w:rsidRPr="00162311" w:rsidRDefault="00C12132" w:rsidP="00EF2E3C">
            <w:pPr>
              <w:ind w:right="78"/>
              <w:rPr>
                <w:rFonts w:asciiTheme="majorHAnsi" w:hAnsiTheme="majorHAnsi" w:cstheme="majorHAnsi"/>
                <w:b/>
                <w:sz w:val="18"/>
                <w:szCs w:val="18"/>
                <w:highlight w:val="yellow"/>
              </w:rPr>
            </w:pPr>
            <w:r w:rsidRPr="00C12132">
              <w:rPr>
                <w:rFonts w:asciiTheme="majorHAnsi" w:hAnsiTheme="majorHAnsi" w:cstheme="majorHAnsi"/>
                <w:b/>
                <w:sz w:val="18"/>
                <w:szCs w:val="18"/>
              </w:rPr>
              <w:t>EX-2020-41667322- -APN-DA#EDUCAR</w:t>
            </w:r>
          </w:p>
        </w:tc>
      </w:tr>
      <w:tr w:rsidR="00162311" w:rsidRPr="00162311" w14:paraId="7CD496E3" w14:textId="77777777" w:rsidTr="00EF2E3C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B05A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Objeto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62B5" w14:textId="22535232" w:rsidR="00162311" w:rsidRPr="00162311" w:rsidRDefault="00C12132" w:rsidP="00EF2E3C">
            <w:pPr>
              <w:ind w:right="78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MANTENIMIENTO DE HIDRANTES - </w:t>
            </w:r>
            <w:r w:rsidR="00456E07"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  <w:r w:rsidRPr="00C12132">
              <w:rPr>
                <w:rFonts w:asciiTheme="majorHAnsi" w:hAnsiTheme="majorHAnsi" w:cstheme="majorHAnsi"/>
                <w:b/>
                <w:sz w:val="18"/>
                <w:szCs w:val="18"/>
              </w:rPr>
              <w:t>° LLAMADO</w:t>
            </w:r>
          </w:p>
        </w:tc>
      </w:tr>
      <w:tr w:rsidR="00162311" w:rsidRPr="00162311" w14:paraId="310E663C" w14:textId="77777777" w:rsidTr="00EF2E3C">
        <w:trPr>
          <w:trHeight w:val="61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7A34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Lugar de entrega / servicio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5DA8E" w14:textId="7856DCA3" w:rsidR="00162311" w:rsidRPr="00162311" w:rsidRDefault="00162311" w:rsidP="00EF2E3C">
            <w:pPr>
              <w:tabs>
                <w:tab w:val="left" w:pos="1276"/>
              </w:tabs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162311">
              <w:rPr>
                <w:rFonts w:asciiTheme="majorHAnsi" w:hAnsiTheme="majorHAnsi" w:cstheme="majorHAnsi"/>
                <w:sz w:val="18"/>
                <w:szCs w:val="18"/>
              </w:rPr>
              <w:t xml:space="preserve">Educ.ar S.E.  - </w:t>
            </w:r>
            <w:r w:rsidR="008532E9" w:rsidRPr="008532E9">
              <w:rPr>
                <w:rFonts w:asciiTheme="majorHAnsi" w:hAnsiTheme="majorHAnsi" w:cstheme="majorHAnsi"/>
                <w:sz w:val="18"/>
                <w:szCs w:val="18"/>
              </w:rPr>
              <w:t>Tinogasta 5268, CABA</w:t>
            </w:r>
          </w:p>
        </w:tc>
      </w:tr>
      <w:tr w:rsidR="00162311" w:rsidRPr="00162311" w14:paraId="0679915D" w14:textId="77777777" w:rsidTr="00EF2E3C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E4D1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Anticipo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D14F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SI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A40E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9DB4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DC75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X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34B8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Porcentaje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43DF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 </w:t>
            </w:r>
          </w:p>
        </w:tc>
      </w:tr>
      <w:tr w:rsidR="00162311" w:rsidRPr="00162311" w14:paraId="5741BA79" w14:textId="77777777" w:rsidTr="00EF2E3C">
        <w:trPr>
          <w:trHeight w:val="610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5DFA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Garantía del bien o servicio 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F458" w14:textId="77777777" w:rsidR="00162311" w:rsidRPr="00162311" w:rsidRDefault="00162311" w:rsidP="00EF2E3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De acuerdo con las Especificaciones Técnicas</w:t>
            </w:r>
          </w:p>
        </w:tc>
      </w:tr>
      <w:tr w:rsidR="00162311" w:rsidRPr="00162311" w14:paraId="1524B78C" w14:textId="77777777" w:rsidTr="00EF2E3C">
        <w:trPr>
          <w:trHeight w:val="381"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EA0B" w14:textId="77777777" w:rsidR="00925B2D" w:rsidRDefault="00925B2D" w:rsidP="00925B2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F9B858F" w14:textId="6B007622" w:rsidR="00162311" w:rsidRDefault="00925B2D" w:rsidP="00925B2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25B2D">
              <w:rPr>
                <w:rFonts w:asciiTheme="majorHAnsi" w:hAnsiTheme="majorHAnsi" w:cstheme="majorHAnsi"/>
                <w:b/>
                <w:sz w:val="18"/>
                <w:szCs w:val="18"/>
              </w:rPr>
              <w:t>ESPECIFICACIONES TÉCNICAS PARA MANTENIMIENTO ANUAL DE LA INSTALACIÓN FIJA CONTRA INCENDIO A BASE DE HIDRANTES Y DETECTORES</w:t>
            </w:r>
          </w:p>
          <w:p w14:paraId="5D5D9A97" w14:textId="77777777" w:rsidR="00925B2D" w:rsidRPr="00062B6E" w:rsidRDefault="00925B2D" w:rsidP="00925B2D">
            <w:pPr>
              <w:spacing w:line="360" w:lineRule="auto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ES"/>
              </w:rPr>
            </w:pPr>
          </w:p>
          <w:p w14:paraId="146D6CAE" w14:textId="77777777" w:rsidR="00C12132" w:rsidRPr="00925B2D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25B2D">
              <w:rPr>
                <w:rFonts w:asciiTheme="majorHAnsi" w:hAnsiTheme="majorHAnsi" w:cstheme="majorHAnsi"/>
                <w:b/>
                <w:sz w:val="18"/>
                <w:szCs w:val="18"/>
              </w:rPr>
              <w:t>INTALACIONES FIJAS</w:t>
            </w:r>
          </w:p>
          <w:p w14:paraId="44EF0D7A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Comprende: El mantenimiento de las instalaciones fijas contra incendio a base de hidrante según Ley 2231 G.C.B.A- Disposición 639/DGDYPCN/16- Registro de Mantenedores, Reparadores, Fabricantes, e Instaladores de instalaciones fijas contra incendio.</w:t>
            </w:r>
          </w:p>
          <w:p w14:paraId="21E4D8FD" w14:textId="77777777" w:rsidR="00C12132" w:rsidRPr="00925B2D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925B2D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Detalle de instalaciones fijas</w:t>
            </w:r>
          </w:p>
          <w:p w14:paraId="63652951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Ubicación: Tinogasta 5268, CABA.</w:t>
            </w:r>
          </w:p>
          <w:p w14:paraId="3AEEE63D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Descripción: 8 (ocho) hidrantes con sus respectivas mangueras distribuidas en 2 pisos.</w:t>
            </w:r>
          </w:p>
          <w:p w14:paraId="7A037584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OBLIGACIONES DEL ADJUDICATARIO</w:t>
            </w:r>
          </w:p>
          <w:p w14:paraId="71C05478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Efectuar las tareas estipuladas en la disposición 639/DGDYPC/16- Ley 2231, en la Norma IRAM 3546, sus accesorias y complementarias.</w:t>
            </w:r>
          </w:p>
          <w:p w14:paraId="7A7561D2" w14:textId="77777777" w:rsidR="00C12132" w:rsidRPr="00925B2D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925B2D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Del sistema de tuberías y Mangueras</w:t>
            </w:r>
          </w:p>
          <w:p w14:paraId="0436BA97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Deberá realizar las tareas de rutina de Mantenimiento Anual en tuberías y mangueras (hidrantes), según conforme a lo establecido en la Norma IRAM Nº3546, 3501-Servicio de Mantenimiento de instalaciones fijas contra incendios-, registrando en el Libro Digital las tareas y las observaciones particulares si las hubiera. Las anomalías detectadas o sugerencias para el correcto funcionamiento de la instalación serán informadas mediante informe técnico por escrito por profesional competente habilitado, para su conocimiento y evaluación.</w:t>
            </w:r>
          </w:p>
          <w:p w14:paraId="42A0EBBA" w14:textId="77777777" w:rsidR="00C12132" w:rsidRPr="00925B2D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925B2D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Del sistema de abastecimiento de agua</w:t>
            </w:r>
          </w:p>
          <w:p w14:paraId="3280133E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Deberá realizar las tareas de rutina de Mantenimiento Anual en el sistema de abastecimiento de agua, conforme a lo establecido en la Norma IRAM Nº3546- Servicio de mantenimiento de instalaciones fijas contra incendios-, registrando en el libro Digital las tareas y las observaciones particulares s las hubiera. Las anomalías detectadas o sugerencias para el correcto funcionamiento de la instalación serán informadas mediante informe técnico por escrito, para su conocimiento y evaluación. </w:t>
            </w:r>
          </w:p>
          <w:p w14:paraId="766EEEBD" w14:textId="77777777" w:rsidR="00C12132" w:rsidRPr="00925B2D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925B2D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De mangueras contra incendio</w:t>
            </w:r>
          </w:p>
          <w:p w14:paraId="18C9B1DD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Deberá efectuarse prueba hidráulica de las mangueras, con Sello IRAM, de conformidad con la Norma IRAM Nº3594 (Mantenimiento de mangueras contra incendio), o certificación de lote, colocando en cada manguera la etiqueta estipulada en la Norma IRAM Nº3594 y la oblea IRAM que asegura la calidad auditada del servicio efectuado.</w:t>
            </w:r>
          </w:p>
          <w:p w14:paraId="0CB91FAA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Deberá efectuarse control sobre el sistema de rociadores certificando bajo Norma IRAM 3596.</w:t>
            </w:r>
          </w:p>
          <w:p w14:paraId="35006EF6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lastRenderedPageBreak/>
              <w:t>Tal calidad exigida resulta de fundamental importancia al momento de un eventual uso de la instalación, asegurando su funcionalidad y la seguridad física para el operador.</w:t>
            </w:r>
          </w:p>
          <w:p w14:paraId="6CADA1AA" w14:textId="77777777" w:rsidR="00C12132" w:rsidRPr="00925B2D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925B2D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El plazo de la devolución del material será de DIEZ (10) días hábiles corridos, contados desde la fecha que fueron retirados para su mantenimiento.</w:t>
            </w:r>
          </w:p>
          <w:p w14:paraId="5C1FEFD7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5040F953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•</w:t>
            </w: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ab/>
              <w:t>Al momento que las instalaciones se encuentren operativas, deberá emitir el Certificado de Operatividad, intervenido por la D.G.D.Y.P.C. del G.C.B.A. según disposición 639/DGDYPC/16. Un ejemplar de este será adosado al Libro virtual de la Agencia de Control Gubernamental.</w:t>
            </w:r>
          </w:p>
          <w:p w14:paraId="67A9C668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Detalles de tareas de Mantenimiento de hidrantes</w:t>
            </w:r>
          </w:p>
          <w:p w14:paraId="772D7B24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•</w:t>
            </w: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ab/>
              <w:t>Tareas por Relevamiento visual inicial, inspección y registro de:</w:t>
            </w:r>
          </w:p>
          <w:p w14:paraId="26D9FB7B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Sistema de abastecimiento de agua (Tanques elevados, cisternas, colectores, etc.).</w:t>
            </w:r>
          </w:p>
          <w:p w14:paraId="13916AA3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Verificación y funcionamiento del sistema de bombeo y presurización.</w:t>
            </w:r>
          </w:p>
          <w:p w14:paraId="4CB4B798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Verificación de Alimentación eléctrica (Tableros, disyuntores, etc.).</w:t>
            </w:r>
          </w:p>
          <w:p w14:paraId="4BF42DE4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Cañerías troncales y ramales de distribución.</w:t>
            </w:r>
          </w:p>
          <w:p w14:paraId="71915E57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Estado de las bocas hidrantes.</w:t>
            </w:r>
          </w:p>
          <w:p w14:paraId="70DD19A0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B.I.E- Registro de los elementos alojados en su interior (lanza, mangas, conexiones de bronce, llave de ajustar uniones).</w:t>
            </w:r>
          </w:p>
          <w:p w14:paraId="6D2D1039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Verificación de señalización reglamentaria según Norma IRAM 10005.</w:t>
            </w:r>
          </w:p>
          <w:p w14:paraId="74D459B5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Inspección de boca de impulsión.</w:t>
            </w:r>
          </w:p>
          <w:p w14:paraId="11827077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Ubicación de la salida para expurgue.</w:t>
            </w:r>
          </w:p>
          <w:p w14:paraId="54213482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Análisis de la documentación de obra, planos, memoria, etc.</w:t>
            </w:r>
          </w:p>
          <w:p w14:paraId="18E850AC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Registro y planillaje generando un informe preliminar.</w:t>
            </w:r>
          </w:p>
          <w:p w14:paraId="236B8A1D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Accionamiento de las válvulas de apertura/cierre de alimentación a reservas de agua y colectores.</w:t>
            </w:r>
          </w:p>
          <w:p w14:paraId="6F9E33C7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Accionamiento de las válvulas de alimentación, salida, retenciones, etc. en equipo de bombeo y presurización.</w:t>
            </w:r>
          </w:p>
          <w:p w14:paraId="233550CE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Vaciado total de la red.</w:t>
            </w:r>
          </w:p>
          <w:p w14:paraId="4F69BDE2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Desconexión y retiro de las mangas y las lanzas de cada nicho hidrante y proceder a su mantenimiento anual y ensayo hidráulico con Sello IRAM, de conformidad con Norma IRAM Nº3594- Mantenimiento de mangas contra incendio, incluidas sus conexiones y las lanzas.</w:t>
            </w:r>
          </w:p>
          <w:p w14:paraId="26A67925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Colocación de etiqueta de identificación s/Norma IRAM y oblea IRAM (azul) que certifica el mantenimiento realizado con Sello IRAM.</w:t>
            </w:r>
          </w:p>
          <w:p w14:paraId="5B824573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Instalación de mangueras sustitutas de reserva de incendio mientras se realiza el servicio. </w:t>
            </w:r>
          </w:p>
          <w:p w14:paraId="2FAF31C8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Reubicación de las mangueras en su posición original, dejando en situación operativa.</w:t>
            </w:r>
          </w:p>
          <w:p w14:paraId="6F1599CC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Verificación de señalización reglamentaria según Norma IRAM 10005.</w:t>
            </w:r>
          </w:p>
          <w:p w14:paraId="2ABA26A4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Inspección de la boca de impulsión y su conexión/acople storz.</w:t>
            </w:r>
          </w:p>
          <w:p w14:paraId="42691B0C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Aseguramiento de la estanqueidad del sistema.</w:t>
            </w:r>
          </w:p>
          <w:p w14:paraId="553F8169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00548220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El mantenimiento se realizará de forma trimestral, dejando constancia del mismo en el Libro de Actas pertinente.</w:t>
            </w:r>
          </w:p>
          <w:p w14:paraId="4510A518" w14:textId="77777777" w:rsidR="00C12132" w:rsidRPr="0094090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940902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Certificación de Operatividad</w:t>
            </w:r>
          </w:p>
          <w:p w14:paraId="2A9A6EA6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Con todos los ensayos y tareas de mantenimiento preventivo/correctivo efectuadas, se procederá a la emisión de CERTIFICADO DE OPERATIVIDAD, con las características del sistema y las recomendaciones. Deberá ser suscripto por un profesional competente.</w:t>
            </w:r>
          </w:p>
          <w:p w14:paraId="0193B1DF" w14:textId="77777777" w:rsidR="00C12132" w:rsidRPr="0094090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940902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lastRenderedPageBreak/>
              <w:t>Personal</w:t>
            </w:r>
          </w:p>
          <w:p w14:paraId="1A1B6A24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El personal de la empresa adjudicataria deberá ser idóneo, estar provisto de indumentaria e identificación adecuada y de los elementos de protección personal establecidos por los organismos que reglamentan la actividad. También deberá acompañar la nómina de empleados y la constancia de la aseguradora de riesgos de trabajo conforme la Ley 24.577 y la ley de Higiene y Seguridad en el trabajo Nº19.587.</w:t>
            </w:r>
          </w:p>
          <w:p w14:paraId="28C3AE6A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El adjudicatario asume la responsabilidad de su personal, obligándose a reparar cualquier daño y/o perjuicio que se origine en el obrar, durante el transcurso de la ejecución del servicio contratado. Asimismo, se designará uno o más responsables con facultades para que actúen como nexo con el personal del Organismo.</w:t>
            </w:r>
          </w:p>
          <w:p w14:paraId="7606D47C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Documentación:</w:t>
            </w:r>
          </w:p>
          <w:p w14:paraId="7F129589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Al momento de ofertar, los oferentes deberán presentar: conforme a la normativa Nº 40473/85 y Ley 2231</w:t>
            </w:r>
          </w:p>
          <w:p w14:paraId="06FFB45D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•</w:t>
            </w: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ab/>
              <w:t>Inscripción en el registro de fabricantes, recargadores y reparadores de equipos contra incendio, según Disposición 5295-DGDYPC-10 y 639-DYDYPC-16.</w:t>
            </w:r>
          </w:p>
          <w:p w14:paraId="1AB7168D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•</w:t>
            </w: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ab/>
              <w:t>Habilitación G.C.B.A.</w:t>
            </w:r>
          </w:p>
          <w:p w14:paraId="7CE8CCA0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Facturación y forma de pago:</w:t>
            </w:r>
          </w:p>
          <w:p w14:paraId="09FF192E" w14:textId="77777777" w:rsidR="00C12132" w:rsidRPr="00543A68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543A68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La facturación será trimestral y a mes vencido, la misma deberá ser presentada a facturación@educar.gob.ar e infraestructura@educar.gob.ar</w:t>
            </w:r>
          </w:p>
          <w:p w14:paraId="1A75A15A" w14:textId="77777777" w:rsidR="00C12132" w:rsidRPr="00925B2D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</w:pPr>
            <w:r w:rsidRPr="00925B2D">
              <w:rPr>
                <w:rFonts w:asciiTheme="majorHAnsi" w:hAnsiTheme="majorHAnsi" w:cstheme="majorHAnsi"/>
                <w:bCs/>
                <w:sz w:val="18"/>
                <w:szCs w:val="18"/>
                <w:u w:val="single"/>
              </w:rPr>
              <w:t>Penalidades:</w:t>
            </w:r>
          </w:p>
          <w:p w14:paraId="2DBBB08B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Cualquier incumplimiento u omisión del adjudicatario, en la prestación del contrato celebrado, será penalizado y/o sancionado conforme lo dispuesto en el Decreto Nº893/2012.</w:t>
            </w:r>
          </w:p>
          <w:p w14:paraId="14709CD7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Visita de obra:</w:t>
            </w:r>
          </w:p>
          <w:p w14:paraId="3F3D9D80" w14:textId="77777777" w:rsidR="00C12132" w:rsidRPr="00925B2D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925B2D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Se deberá realizar una visita de obra con el fin de verificar el estado actual de las instalaciones y poder despejar las dudas que pudieran existir. Para coordinar la visita se deberá enviar un mail a infraestructura@educar.gob.ar indicando en el asunto “Visita de obra Mantenimiento de instalaciones fijas”.</w:t>
            </w:r>
          </w:p>
          <w:p w14:paraId="39D01696" w14:textId="77777777" w:rsidR="00C12132" w:rsidRPr="00925B2D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925B2D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La misma es obligatoria y excluyente. El certificado de visita emitido por EDUC.AR S. E. deberá estar incluido junto con la propuesta.</w:t>
            </w:r>
          </w:p>
          <w:p w14:paraId="7EFF3F39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2132">
              <w:rPr>
                <w:rFonts w:asciiTheme="majorHAnsi" w:hAnsiTheme="majorHAnsi" w:cstheme="majorHAnsi"/>
                <w:bCs/>
                <w:sz w:val="18"/>
                <w:szCs w:val="18"/>
              </w:rPr>
              <w:t>Ante la situación de confinamiento social, preventivo y obligatorio, se diagramarán visitas escalonadas.</w:t>
            </w:r>
          </w:p>
          <w:p w14:paraId="21295988" w14:textId="77777777" w:rsidR="00C12132" w:rsidRPr="00C12132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4A5C7891" w14:textId="02DF6CDC" w:rsidR="00C12132" w:rsidRPr="00925B2D" w:rsidRDefault="00C12132" w:rsidP="00C1213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925B2D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Inicio del servicio</w:t>
            </w:r>
            <w:r w:rsidR="00925B2D" w:rsidRPr="00925B2D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:</w:t>
            </w:r>
          </w:p>
          <w:p w14:paraId="0C48F831" w14:textId="0A3F0E79" w:rsidR="000A5380" w:rsidRDefault="00940902" w:rsidP="009B2189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A</w:t>
            </w:r>
            <w:r w:rsidRPr="00940902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los 5 días hábiles de la notificación fehaciente de la Orden de compra</w:t>
            </w:r>
          </w:p>
          <w:p w14:paraId="301AF001" w14:textId="14762B1C" w:rsidR="00133749" w:rsidRDefault="00133749" w:rsidP="009B2189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7D4AEA44" w14:textId="2CC7E090" w:rsidR="00133749" w:rsidRPr="00531B44" w:rsidRDefault="00133749" w:rsidP="00133749">
            <w:pPr>
              <w:shd w:val="clear" w:color="auto" w:fill="FFFFFF"/>
              <w:rPr>
                <w:rFonts w:ascii="Calibri" w:eastAsia="Times New Roman" w:hAnsi="Calibri" w:cs="Calibri"/>
                <w:sz w:val="18"/>
                <w:szCs w:val="18"/>
                <w:lang w:val="es-AR" w:eastAsia="es-AR"/>
              </w:rPr>
            </w:pPr>
            <w:r w:rsidRPr="00531B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AR" w:eastAsia="es-AR"/>
              </w:rPr>
              <w:t>Fecha límite para la recepción de ofertas:</w:t>
            </w:r>
            <w:r w:rsidRPr="00531B44">
              <w:rPr>
                <w:rFonts w:ascii="Calibri" w:eastAsia="Times New Roman" w:hAnsi="Calibri" w:cs="Calibri"/>
                <w:sz w:val="18"/>
                <w:szCs w:val="18"/>
                <w:lang w:val="es-AR" w:eastAsia="es-AR"/>
              </w:rPr>
              <w:t xml:space="preserve"> </w:t>
            </w:r>
            <w:r w:rsidR="00531B44" w:rsidRPr="00531B44">
              <w:rPr>
                <w:rFonts w:ascii="Calibri" w:eastAsia="Times New Roman" w:hAnsi="Calibri" w:cs="Calibri"/>
                <w:sz w:val="18"/>
                <w:szCs w:val="18"/>
                <w:u w:val="single"/>
                <w:lang w:val="es-AR" w:eastAsia="es-AR"/>
              </w:rPr>
              <w:t>0</w:t>
            </w:r>
            <w:r w:rsidR="005A6D74">
              <w:rPr>
                <w:rFonts w:ascii="Calibri" w:eastAsia="Times New Roman" w:hAnsi="Calibri" w:cs="Calibri"/>
                <w:sz w:val="18"/>
                <w:szCs w:val="18"/>
                <w:u w:val="single"/>
                <w:lang w:val="es-AR" w:eastAsia="es-AR"/>
              </w:rPr>
              <w:t>7</w:t>
            </w:r>
            <w:r w:rsidRPr="00531B44">
              <w:rPr>
                <w:rFonts w:ascii="Calibri" w:eastAsia="Times New Roman" w:hAnsi="Calibri" w:cs="Calibri"/>
                <w:sz w:val="18"/>
                <w:szCs w:val="18"/>
                <w:u w:val="single"/>
                <w:lang w:val="es-AR" w:eastAsia="es-AR"/>
              </w:rPr>
              <w:t>/</w:t>
            </w:r>
            <w:r w:rsidR="00531B44" w:rsidRPr="00531B44">
              <w:rPr>
                <w:rFonts w:ascii="Calibri" w:eastAsia="Times New Roman" w:hAnsi="Calibri" w:cs="Calibri"/>
                <w:sz w:val="18"/>
                <w:szCs w:val="18"/>
                <w:u w:val="single"/>
                <w:lang w:val="es-AR" w:eastAsia="es-AR"/>
              </w:rPr>
              <w:t>0</w:t>
            </w:r>
            <w:r w:rsidR="00456E07">
              <w:rPr>
                <w:rFonts w:ascii="Calibri" w:eastAsia="Times New Roman" w:hAnsi="Calibri" w:cs="Calibri"/>
                <w:sz w:val="18"/>
                <w:szCs w:val="18"/>
                <w:u w:val="single"/>
                <w:lang w:val="es-AR" w:eastAsia="es-AR"/>
              </w:rPr>
              <w:t>2</w:t>
            </w:r>
            <w:r w:rsidRPr="00531B44">
              <w:rPr>
                <w:rFonts w:ascii="Calibri" w:eastAsia="Times New Roman" w:hAnsi="Calibri" w:cs="Calibri"/>
                <w:sz w:val="18"/>
                <w:szCs w:val="18"/>
                <w:u w:val="single"/>
                <w:lang w:val="es-AR" w:eastAsia="es-AR"/>
              </w:rPr>
              <w:t>/2</w:t>
            </w:r>
            <w:r w:rsidR="00531B44" w:rsidRPr="00531B44">
              <w:rPr>
                <w:rFonts w:ascii="Calibri" w:eastAsia="Times New Roman" w:hAnsi="Calibri" w:cs="Calibri"/>
                <w:sz w:val="18"/>
                <w:szCs w:val="18"/>
                <w:u w:val="single"/>
                <w:lang w:val="es-AR" w:eastAsia="es-AR"/>
              </w:rPr>
              <w:t>2</w:t>
            </w:r>
            <w:r w:rsidRPr="00531B44">
              <w:rPr>
                <w:rFonts w:ascii="Calibri" w:eastAsia="Times New Roman" w:hAnsi="Calibri" w:cs="Calibri"/>
                <w:sz w:val="18"/>
                <w:szCs w:val="18"/>
                <w:u w:val="single"/>
                <w:lang w:val="es-AR" w:eastAsia="es-AR"/>
              </w:rPr>
              <w:t xml:space="preserve"> a las 18hs</w:t>
            </w:r>
          </w:p>
          <w:p w14:paraId="3E0A1E3A" w14:textId="77777777" w:rsidR="00133749" w:rsidRPr="00531B44" w:rsidRDefault="00133749" w:rsidP="00133749">
            <w:pPr>
              <w:shd w:val="clear" w:color="auto" w:fill="FFFFFF"/>
              <w:rPr>
                <w:rFonts w:ascii="Calibri" w:eastAsia="Times New Roman" w:hAnsi="Calibri" w:cs="Calibri"/>
                <w:sz w:val="18"/>
                <w:szCs w:val="18"/>
                <w:lang w:val="es-AR" w:eastAsia="es-AR"/>
              </w:rPr>
            </w:pPr>
          </w:p>
          <w:p w14:paraId="253663B9" w14:textId="77777777" w:rsidR="00133749" w:rsidRPr="00531B44" w:rsidRDefault="00133749" w:rsidP="00133749">
            <w:pPr>
              <w:shd w:val="clear" w:color="auto" w:fill="FFFFFF"/>
              <w:rPr>
                <w:rFonts w:ascii="Calibri" w:eastAsia="Times New Roman" w:hAnsi="Calibri" w:cs="Calibri"/>
                <w:sz w:val="18"/>
                <w:szCs w:val="18"/>
                <w:lang w:val="es-AR" w:eastAsia="es-AR"/>
              </w:rPr>
            </w:pPr>
            <w:r w:rsidRPr="00531B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AR" w:eastAsia="es-AR"/>
              </w:rPr>
              <w:t>Dirección de E-Mail para enviar ofertas:</w:t>
            </w:r>
            <w:r w:rsidRPr="00531B44">
              <w:rPr>
                <w:rFonts w:ascii="Calibri" w:eastAsia="Times New Roman" w:hAnsi="Calibri" w:cs="Calibri"/>
                <w:sz w:val="18"/>
                <w:szCs w:val="18"/>
                <w:lang w:val="es-AR" w:eastAsia="es-AR"/>
              </w:rPr>
              <w:t xml:space="preserve"> </w:t>
            </w:r>
            <w:r w:rsidRPr="00531B44">
              <w:rPr>
                <w:rFonts w:ascii="Calibri" w:eastAsia="Times New Roman" w:hAnsi="Calibri" w:cs="Calibri"/>
                <w:sz w:val="18"/>
                <w:szCs w:val="18"/>
                <w:u w:val="single"/>
                <w:lang w:val="es-AR" w:eastAsia="es-AR"/>
              </w:rPr>
              <w:t>compras@educar.gob.ar</w:t>
            </w:r>
          </w:p>
          <w:p w14:paraId="1460955C" w14:textId="77777777" w:rsidR="00133749" w:rsidRPr="009B2189" w:rsidRDefault="00133749" w:rsidP="009B2189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22EDBAD1" w14:textId="71247009" w:rsidR="00162311" w:rsidRPr="00A87DC7" w:rsidRDefault="00162311" w:rsidP="00A87DC7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</w:p>
        </w:tc>
      </w:tr>
    </w:tbl>
    <w:p w14:paraId="3CA2449C" w14:textId="77777777" w:rsidR="00162311" w:rsidRPr="00162311" w:rsidRDefault="00162311" w:rsidP="00162311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u w:val="single"/>
        </w:rPr>
      </w:pPr>
      <w:bookmarkStart w:id="0" w:name="_l34o3ixohusu" w:colFirst="0" w:colLast="0"/>
      <w:bookmarkStart w:id="1" w:name="_e1xq5xp3683t" w:colFirst="0" w:colLast="0"/>
      <w:bookmarkStart w:id="2" w:name="_hyeou4qstqmf" w:colFirst="0" w:colLast="0"/>
      <w:bookmarkStart w:id="3" w:name="_5vd2rvivte2l" w:colFirst="0" w:colLast="0"/>
      <w:bookmarkStart w:id="4" w:name="_swqcjxldur7" w:colFirst="0" w:colLast="0"/>
      <w:bookmarkStart w:id="5" w:name="_ntu1rmn1glvp" w:colFirst="0" w:colLast="0"/>
      <w:bookmarkEnd w:id="0"/>
      <w:bookmarkEnd w:id="1"/>
      <w:bookmarkEnd w:id="2"/>
      <w:bookmarkEnd w:id="3"/>
      <w:bookmarkEnd w:id="4"/>
      <w:bookmarkEnd w:id="5"/>
    </w:p>
    <w:p w14:paraId="382EEAD7" w14:textId="2E14B7E6" w:rsidR="00162311" w:rsidRPr="00162311" w:rsidRDefault="00162311" w:rsidP="00162311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u w:val="single"/>
        </w:rPr>
      </w:pPr>
    </w:p>
    <w:p w14:paraId="7AF40F98" w14:textId="125A69AE" w:rsidR="00162311" w:rsidRDefault="00162311" w:rsidP="00162311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u w:val="single"/>
        </w:rPr>
      </w:pPr>
    </w:p>
    <w:p w14:paraId="3194F667" w14:textId="3ABD9E1E" w:rsidR="004A5A64" w:rsidRDefault="004A5A64" w:rsidP="00162311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u w:val="single"/>
        </w:rPr>
      </w:pPr>
    </w:p>
    <w:p w14:paraId="1767B06E" w14:textId="505FE4A0" w:rsidR="004A5A64" w:rsidRDefault="004A5A64" w:rsidP="00162311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u w:val="single"/>
        </w:rPr>
      </w:pPr>
    </w:p>
    <w:p w14:paraId="09D2AA84" w14:textId="71E45301" w:rsidR="00925B2D" w:rsidRDefault="00925B2D" w:rsidP="00162311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u w:val="single"/>
        </w:rPr>
      </w:pPr>
    </w:p>
    <w:p w14:paraId="5F515163" w14:textId="77777777" w:rsidR="00925B2D" w:rsidRDefault="00925B2D" w:rsidP="00162311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248"/>
        <w:gridCol w:w="3267"/>
        <w:gridCol w:w="969"/>
        <w:gridCol w:w="733"/>
        <w:gridCol w:w="1559"/>
        <w:gridCol w:w="1494"/>
        <w:gridCol w:w="788"/>
        <w:gridCol w:w="687"/>
      </w:tblGrid>
      <w:tr w:rsidR="00162311" w:rsidRPr="00162311" w14:paraId="5C6E3780" w14:textId="77777777" w:rsidTr="0074143C">
        <w:trPr>
          <w:gridAfter w:val="2"/>
          <w:wAfter w:w="1475" w:type="dxa"/>
          <w:trHeight w:val="345"/>
        </w:trPr>
        <w:tc>
          <w:tcPr>
            <w:tcW w:w="10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8391" w14:textId="03B1637C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lastRenderedPageBreak/>
              <w:t>ANEXO II - PLANILLA DE COTIZACIÓN</w:t>
            </w:r>
          </w:p>
        </w:tc>
      </w:tr>
      <w:tr w:rsidR="00162311" w:rsidRPr="00162311" w14:paraId="39484F16" w14:textId="77777777" w:rsidTr="0074143C">
        <w:trPr>
          <w:gridAfter w:val="2"/>
          <w:wAfter w:w="1475" w:type="dxa"/>
          <w:trHeight w:val="63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403" w14:textId="0B7DD529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543A6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Único</w:t>
            </w: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39E4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F8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CB5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D69C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E3C2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con IVA INCLUIDO</w:t>
            </w:r>
          </w:p>
        </w:tc>
      </w:tr>
      <w:tr w:rsidR="00162311" w:rsidRPr="00162311" w14:paraId="5A7DF0D0" w14:textId="77777777" w:rsidTr="0074143C">
        <w:trPr>
          <w:gridAfter w:val="2"/>
          <w:wAfter w:w="1475" w:type="dxa"/>
          <w:trHeight w:val="34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F04" w14:textId="77777777" w:rsidR="00162311" w:rsidRPr="00745BA1" w:rsidRDefault="00162311" w:rsidP="00EF2E3C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45BA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5FF" w14:textId="7F618DB5" w:rsidR="00162311" w:rsidRPr="00162311" w:rsidRDefault="00925B2D" w:rsidP="00075E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MANTENIMIENTO DE HIDRANTES </w:t>
            </w:r>
            <w:r w:rsidR="00FD45F0">
              <w:rPr>
                <w:rFonts w:asciiTheme="majorHAnsi" w:hAnsiTheme="majorHAnsi" w:cstheme="majorHAnsi"/>
                <w:sz w:val="18"/>
                <w:szCs w:val="18"/>
              </w:rPr>
              <w:t>– S/ESP.TECNICAS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DD70" w14:textId="61AFC5C4" w:rsidR="00162311" w:rsidRPr="00162311" w:rsidRDefault="00925B2D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TRIMESTRE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D533" w14:textId="33E8A729" w:rsidR="00162311" w:rsidRPr="00162311" w:rsidRDefault="00925B2D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241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E17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26317943" w14:textId="77777777" w:rsidTr="0074143C">
        <w:trPr>
          <w:trHeight w:val="178"/>
        </w:trPr>
        <w:tc>
          <w:tcPr>
            <w:tcW w:w="10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C29D" w14:textId="77777777" w:rsidR="00FD45F0" w:rsidRPr="00162311" w:rsidRDefault="00FD45F0" w:rsidP="00FD45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argentinos (en letras y números):</w:t>
            </w:r>
            <w:r w:rsidRPr="001623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559DBD8" w14:textId="77777777" w:rsidR="00FD45F0" w:rsidRPr="00162311" w:rsidRDefault="00FD45F0" w:rsidP="00FD45F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53F35E" w14:textId="77777777" w:rsidR="00FD45F0" w:rsidRPr="00162311" w:rsidRDefault="00FD45F0" w:rsidP="00FD45F0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788" w:type="dxa"/>
          </w:tcPr>
          <w:p w14:paraId="16AC2768" w14:textId="77777777" w:rsidR="00FD45F0" w:rsidRPr="00162311" w:rsidRDefault="00FD45F0" w:rsidP="00FD45F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6570747B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FD45F0" w:rsidRPr="00162311" w14:paraId="207E0180" w14:textId="77777777" w:rsidTr="0074143C">
        <w:trPr>
          <w:gridAfter w:val="2"/>
          <w:wAfter w:w="1475" w:type="dxa"/>
          <w:trHeight w:val="345"/>
        </w:trPr>
        <w:tc>
          <w:tcPr>
            <w:tcW w:w="10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02DC" w14:textId="77777777" w:rsidR="00FD45F0" w:rsidRDefault="00FD45F0" w:rsidP="00FD45F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62311">
              <w:rPr>
                <w:rFonts w:asciiTheme="majorHAnsi" w:hAnsiTheme="majorHAnsi" w:cstheme="maj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  <w:p w14:paraId="5305CC5E" w14:textId="721147EA" w:rsidR="00CB0259" w:rsidRPr="00162311" w:rsidRDefault="00CB0259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 ACEPTARÁN COTIZACIONES CON HASTA 2 (DOS) DECIMALES EN COSTOS UNITARIOS Y TOTALES</w:t>
            </w:r>
          </w:p>
        </w:tc>
      </w:tr>
      <w:tr w:rsidR="00FD45F0" w:rsidRPr="00162311" w14:paraId="7BE6D6D2" w14:textId="77777777" w:rsidTr="0074143C">
        <w:trPr>
          <w:gridAfter w:val="2"/>
          <w:wAfter w:w="1475" w:type="dxa"/>
          <w:trHeight w:val="345"/>
        </w:trPr>
        <w:tc>
          <w:tcPr>
            <w:tcW w:w="10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CB1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FD45F0" w:rsidRPr="00162311" w14:paraId="4DE44353" w14:textId="77777777" w:rsidTr="0074143C">
        <w:trPr>
          <w:gridAfter w:val="2"/>
          <w:wAfter w:w="1475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4327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1B96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0F21EEA0" w14:textId="77777777" w:rsidTr="0074143C">
        <w:trPr>
          <w:gridAfter w:val="2"/>
          <w:wAfter w:w="1475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E7A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6AAA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17619351" w14:textId="77777777" w:rsidTr="0074143C">
        <w:trPr>
          <w:gridAfter w:val="2"/>
          <w:wAfter w:w="1475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510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5E7B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79C9BB8E" w14:textId="77777777" w:rsidTr="0074143C">
        <w:trPr>
          <w:gridAfter w:val="2"/>
          <w:wAfter w:w="1475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3D01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A25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735AC4FB" w14:textId="77777777" w:rsidTr="0074143C">
        <w:trPr>
          <w:gridAfter w:val="2"/>
          <w:wAfter w:w="1475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6AE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B0DD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63E0B512" w14:textId="77777777" w:rsidTr="0074143C">
        <w:trPr>
          <w:gridAfter w:val="2"/>
          <w:wAfter w:w="1475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C1F3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6F5A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1EF6819B" w14:textId="77777777" w:rsidTr="0074143C">
        <w:trPr>
          <w:gridAfter w:val="2"/>
          <w:wAfter w:w="1475" w:type="dxa"/>
          <w:trHeight w:val="345"/>
        </w:trPr>
        <w:tc>
          <w:tcPr>
            <w:tcW w:w="10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6A87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FD45F0" w:rsidRPr="00162311" w14:paraId="627BC480" w14:textId="77777777" w:rsidTr="0074143C">
        <w:trPr>
          <w:gridAfter w:val="2"/>
          <w:wAfter w:w="1475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D280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655F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003088A8" w14:textId="77777777" w:rsidTr="0074143C">
        <w:trPr>
          <w:gridAfter w:val="2"/>
          <w:wAfter w:w="1475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5E48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CCB2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6090288D" w14:textId="77777777" w:rsidTr="0074143C">
        <w:trPr>
          <w:gridAfter w:val="2"/>
          <w:wAfter w:w="1475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4D27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ACE3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196662B8" w14:textId="77777777" w:rsidTr="0074143C">
        <w:trPr>
          <w:gridAfter w:val="2"/>
          <w:wAfter w:w="1475" w:type="dxa"/>
          <w:trHeight w:val="345"/>
        </w:trPr>
        <w:tc>
          <w:tcPr>
            <w:tcW w:w="10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89E2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FD45F0" w:rsidRPr="00162311" w14:paraId="1A14CD5E" w14:textId="77777777" w:rsidTr="0074143C">
        <w:trPr>
          <w:gridAfter w:val="2"/>
          <w:wAfter w:w="1475" w:type="dxa"/>
          <w:trHeight w:val="300"/>
        </w:trPr>
        <w:tc>
          <w:tcPr>
            <w:tcW w:w="10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E87E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CB0259" w:rsidRPr="00162311" w14:paraId="4C6E8592" w14:textId="77777777" w:rsidTr="0074143C">
        <w:trPr>
          <w:gridAfter w:val="2"/>
          <w:wAfter w:w="1475" w:type="dxa"/>
          <w:trHeight w:val="300"/>
        </w:trPr>
        <w:tc>
          <w:tcPr>
            <w:tcW w:w="10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E6ED4" w14:textId="77777777" w:rsidR="00CB0259" w:rsidRPr="00162311" w:rsidRDefault="00CB0259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37FED34E" w14:textId="77777777" w:rsidTr="0074143C">
        <w:trPr>
          <w:gridAfter w:val="2"/>
          <w:wAfter w:w="1475" w:type="dxa"/>
          <w:trHeight w:val="300"/>
        </w:trPr>
        <w:tc>
          <w:tcPr>
            <w:tcW w:w="10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4D57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45FD22DD" w14:textId="77777777" w:rsidR="00162311" w:rsidRPr="00162311" w:rsidRDefault="00162311" w:rsidP="00162311">
      <w:pPr>
        <w:spacing w:line="276" w:lineRule="auto"/>
        <w:jc w:val="center"/>
        <w:rPr>
          <w:rFonts w:asciiTheme="majorHAnsi" w:hAnsiTheme="majorHAnsi" w:cstheme="majorHAnsi"/>
          <w:sz w:val="18"/>
          <w:szCs w:val="18"/>
        </w:rPr>
      </w:pPr>
    </w:p>
    <w:p w14:paraId="1B2F55B9" w14:textId="77777777" w:rsidR="00162311" w:rsidRPr="00162311" w:rsidRDefault="00162311" w:rsidP="00162311">
      <w:pPr>
        <w:spacing w:line="276" w:lineRule="auto"/>
        <w:rPr>
          <w:rFonts w:asciiTheme="majorHAnsi" w:hAnsiTheme="majorHAnsi" w:cstheme="majorHAnsi"/>
          <w:sz w:val="18"/>
          <w:szCs w:val="18"/>
        </w:rPr>
      </w:pPr>
    </w:p>
    <w:p w14:paraId="01F86118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30B182C0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24F1DFF6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E29B389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0D9806F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4321114B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6A14475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3CC3104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1A70C7F4" w14:textId="1F2E4903" w:rsidR="0005465E" w:rsidRPr="001C1689" w:rsidRDefault="0005465E" w:rsidP="001C1689">
      <w:pPr>
        <w:tabs>
          <w:tab w:val="left" w:pos="3690"/>
        </w:tabs>
        <w:rPr>
          <w:rFonts w:asciiTheme="majorHAnsi" w:hAnsiTheme="majorHAnsi" w:cstheme="majorHAnsi"/>
          <w:sz w:val="18"/>
          <w:szCs w:val="18"/>
        </w:rPr>
      </w:pPr>
    </w:p>
    <w:sectPr w:rsidR="0005465E" w:rsidRPr="001C1689" w:rsidSect="00AC35FE">
      <w:headerReference w:type="default" r:id="rId8"/>
      <w:footerReference w:type="default" r:id="rId9"/>
      <w:pgSz w:w="11900" w:h="16840"/>
      <w:pgMar w:top="1474" w:right="907" w:bottom="1247" w:left="1418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081E" w14:textId="77777777" w:rsidR="00803DDB" w:rsidRDefault="00803DDB" w:rsidP="0060495E">
      <w:r>
        <w:separator/>
      </w:r>
    </w:p>
  </w:endnote>
  <w:endnote w:type="continuationSeparator" w:id="0">
    <w:p w14:paraId="4C7F740F" w14:textId="77777777" w:rsidR="00803DDB" w:rsidRDefault="00803DD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5C26" w14:textId="0A2FF915" w:rsidR="00186A59" w:rsidRDefault="001A650F" w:rsidP="001A650F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8640FE" wp14:editId="0F82158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509510" cy="1252620"/>
          <wp:effectExtent l="0" t="0" r="0" b="5080"/>
          <wp:wrapNone/>
          <wp:docPr id="10" name="Imagen 10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Membretada_2020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9510" cy="125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5DF5" w14:textId="77777777" w:rsidR="00803DDB" w:rsidRDefault="00803DDB" w:rsidP="0060495E">
      <w:r>
        <w:separator/>
      </w:r>
    </w:p>
  </w:footnote>
  <w:footnote w:type="continuationSeparator" w:id="0">
    <w:p w14:paraId="2D5E3C8D" w14:textId="77777777" w:rsidR="00803DDB" w:rsidRDefault="00803DD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96C1" w14:textId="6A6760FB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860F9F1" wp14:editId="16A10F97">
          <wp:simplePos x="0" y="0"/>
          <wp:positionH relativeFrom="margin">
            <wp:posOffset>-622135</wp:posOffset>
          </wp:positionH>
          <wp:positionV relativeFrom="paragraph">
            <wp:posOffset>15903</wp:posOffset>
          </wp:positionV>
          <wp:extent cx="7005099" cy="90614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1592" cy="90827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4622E" w14:textId="58CAE01A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C2B2F4B" w14:textId="64B40D19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4C4777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F2198B8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5278FC9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D96215C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67E6476D" w14:textId="067EE7FA" w:rsidR="00A7793F" w:rsidRPr="00162311" w:rsidRDefault="00162311" w:rsidP="00162311">
    <w:pPr>
      <w:pStyle w:val="Encabezado"/>
      <w:jc w:val="center"/>
      <w:rPr>
        <w:rFonts w:asciiTheme="majorHAnsi" w:hAnsiTheme="majorHAnsi" w:cstheme="majorHAnsi"/>
      </w:rPr>
    </w:pPr>
    <w:r w:rsidRPr="00162311">
      <w:rPr>
        <w:rFonts w:asciiTheme="majorHAnsi" w:hAnsiTheme="majorHAnsi" w:cstheme="majorHAnsi"/>
        <w:b/>
        <w:sz w:val="20"/>
      </w:rPr>
      <w:t>EDUC.AR SOCIEDAD DEL ESTADO - TÉRMINOS DE CONTRATACIÓN</w:t>
    </w:r>
    <w:r w:rsidRPr="00162311">
      <w:rPr>
        <w:rFonts w:asciiTheme="majorHAnsi" w:hAnsiTheme="majorHAnsi" w:cstheme="majorHAnsi"/>
        <w:noProof/>
        <w:lang w:val="es-ES"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68E"/>
    <w:multiLevelType w:val="hybridMultilevel"/>
    <w:tmpl w:val="68EE01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52AA"/>
    <w:multiLevelType w:val="hybridMultilevel"/>
    <w:tmpl w:val="184689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5FBB"/>
    <w:multiLevelType w:val="hybridMultilevel"/>
    <w:tmpl w:val="A86A5956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C69"/>
    <w:multiLevelType w:val="hybridMultilevel"/>
    <w:tmpl w:val="8F3ED3DA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4378"/>
    <w:multiLevelType w:val="hybridMultilevel"/>
    <w:tmpl w:val="2B140450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56895"/>
    <w:multiLevelType w:val="hybridMultilevel"/>
    <w:tmpl w:val="542A51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B1547"/>
    <w:multiLevelType w:val="hybridMultilevel"/>
    <w:tmpl w:val="1242ED5A"/>
    <w:lvl w:ilvl="0" w:tplc="912270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540B8"/>
    <w:multiLevelType w:val="hybridMultilevel"/>
    <w:tmpl w:val="35FEB66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ED7639"/>
    <w:multiLevelType w:val="hybridMultilevel"/>
    <w:tmpl w:val="943A0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11E30"/>
    <w:multiLevelType w:val="hybridMultilevel"/>
    <w:tmpl w:val="AF5AA58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13BDE"/>
    <w:multiLevelType w:val="hybridMultilevel"/>
    <w:tmpl w:val="7BC2494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148BB"/>
    <w:multiLevelType w:val="hybridMultilevel"/>
    <w:tmpl w:val="D18A5602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318ED"/>
    <w:rsid w:val="00031AC0"/>
    <w:rsid w:val="000366FB"/>
    <w:rsid w:val="0005465E"/>
    <w:rsid w:val="00061DFA"/>
    <w:rsid w:val="00062B6E"/>
    <w:rsid w:val="00075E18"/>
    <w:rsid w:val="000A5380"/>
    <w:rsid w:val="000A61B9"/>
    <w:rsid w:val="001049A3"/>
    <w:rsid w:val="00105FC0"/>
    <w:rsid w:val="00116AE1"/>
    <w:rsid w:val="0012776A"/>
    <w:rsid w:val="00133749"/>
    <w:rsid w:val="00162311"/>
    <w:rsid w:val="00186A59"/>
    <w:rsid w:val="001A650F"/>
    <w:rsid w:val="001B29E2"/>
    <w:rsid w:val="001C1689"/>
    <w:rsid w:val="001E33FC"/>
    <w:rsid w:val="001F451A"/>
    <w:rsid w:val="00247FA1"/>
    <w:rsid w:val="00254F28"/>
    <w:rsid w:val="00296978"/>
    <w:rsid w:val="002D1E9B"/>
    <w:rsid w:val="00311391"/>
    <w:rsid w:val="00354CCC"/>
    <w:rsid w:val="00364B5D"/>
    <w:rsid w:val="00365D39"/>
    <w:rsid w:val="00373584"/>
    <w:rsid w:val="003B55AF"/>
    <w:rsid w:val="003D0FE9"/>
    <w:rsid w:val="00454AE5"/>
    <w:rsid w:val="00456E07"/>
    <w:rsid w:val="0049610A"/>
    <w:rsid w:val="004A5A64"/>
    <w:rsid w:val="004C2C47"/>
    <w:rsid w:val="005126D8"/>
    <w:rsid w:val="0053166D"/>
    <w:rsid w:val="00531B44"/>
    <w:rsid w:val="00543A68"/>
    <w:rsid w:val="00545C21"/>
    <w:rsid w:val="005A6D74"/>
    <w:rsid w:val="0060495E"/>
    <w:rsid w:val="00622F92"/>
    <w:rsid w:val="00646258"/>
    <w:rsid w:val="006B2355"/>
    <w:rsid w:val="006F5CB0"/>
    <w:rsid w:val="0074143C"/>
    <w:rsid w:val="00745BA1"/>
    <w:rsid w:val="0077739F"/>
    <w:rsid w:val="008026A7"/>
    <w:rsid w:val="00803DDB"/>
    <w:rsid w:val="008207DE"/>
    <w:rsid w:val="00836B99"/>
    <w:rsid w:val="008532E9"/>
    <w:rsid w:val="00891170"/>
    <w:rsid w:val="008B3C8A"/>
    <w:rsid w:val="008C22B5"/>
    <w:rsid w:val="00925B2D"/>
    <w:rsid w:val="00934D7A"/>
    <w:rsid w:val="00940902"/>
    <w:rsid w:val="009B2189"/>
    <w:rsid w:val="009B649C"/>
    <w:rsid w:val="009D1350"/>
    <w:rsid w:val="00A27DD1"/>
    <w:rsid w:val="00A617DB"/>
    <w:rsid w:val="00A76185"/>
    <w:rsid w:val="00A7793F"/>
    <w:rsid w:val="00A87DC7"/>
    <w:rsid w:val="00AC35FE"/>
    <w:rsid w:val="00AC75FE"/>
    <w:rsid w:val="00AD315D"/>
    <w:rsid w:val="00AF4C75"/>
    <w:rsid w:val="00B67AE4"/>
    <w:rsid w:val="00B70731"/>
    <w:rsid w:val="00BC220C"/>
    <w:rsid w:val="00BD0C5A"/>
    <w:rsid w:val="00C1092B"/>
    <w:rsid w:val="00C12132"/>
    <w:rsid w:val="00C16FED"/>
    <w:rsid w:val="00C33D9F"/>
    <w:rsid w:val="00C579E6"/>
    <w:rsid w:val="00C76611"/>
    <w:rsid w:val="00C96130"/>
    <w:rsid w:val="00CA22A7"/>
    <w:rsid w:val="00CB0259"/>
    <w:rsid w:val="00CB0BF9"/>
    <w:rsid w:val="00D05081"/>
    <w:rsid w:val="00DA6CE4"/>
    <w:rsid w:val="00DC7DE7"/>
    <w:rsid w:val="00DE2941"/>
    <w:rsid w:val="00E130BA"/>
    <w:rsid w:val="00E21261"/>
    <w:rsid w:val="00E579C5"/>
    <w:rsid w:val="00E76CF3"/>
    <w:rsid w:val="00EE14E4"/>
    <w:rsid w:val="00F40B23"/>
    <w:rsid w:val="00F53EBA"/>
    <w:rsid w:val="00F65265"/>
    <w:rsid w:val="00F654DA"/>
    <w:rsid w:val="00F6660E"/>
    <w:rsid w:val="00F72CC3"/>
    <w:rsid w:val="00FB25FC"/>
    <w:rsid w:val="00FC1D3A"/>
    <w:rsid w:val="00FD45F0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617950"/>
  <w15:docId w15:val="{51A6141E-16E8-4D33-B5C0-966BD4D2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B55AF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E2941"/>
    <w:pPr>
      <w:spacing w:after="200"/>
    </w:pPr>
    <w:rPr>
      <w:i/>
      <w:iCs/>
      <w:color w:val="1F497D" w:themeColor="text2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C1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raestructura@educar.gob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2159</Words>
  <Characters>11880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Tomas Di Diego</cp:lastModifiedBy>
  <cp:revision>17</cp:revision>
  <cp:lastPrinted>2020-01-06T14:06:00Z</cp:lastPrinted>
  <dcterms:created xsi:type="dcterms:W3CDTF">2021-08-26T20:34:00Z</dcterms:created>
  <dcterms:modified xsi:type="dcterms:W3CDTF">2022-01-27T16:27:00Z</dcterms:modified>
</cp:coreProperties>
</file>